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6C91F" w14:textId="620B9F7F" w:rsidR="00407F48" w:rsidRDefault="00BE38E7" w:rsidP="00771A30">
      <w:pPr>
        <w:jc w:val="center"/>
        <w:rPr>
          <w:b/>
          <w:bCs/>
          <w:sz w:val="36"/>
          <w:szCs w:val="36"/>
        </w:rPr>
      </w:pPr>
      <w:r w:rsidRPr="00BE38E7">
        <w:rPr>
          <w:b/>
          <w:bCs/>
          <w:sz w:val="36"/>
          <w:szCs w:val="36"/>
        </w:rPr>
        <w:t>FEES FOR NON-NHS SERVICES 202</w:t>
      </w:r>
      <w:r w:rsidR="00541DD1">
        <w:rPr>
          <w:b/>
          <w:bCs/>
          <w:sz w:val="36"/>
          <w:szCs w:val="36"/>
        </w:rPr>
        <w:t>4</w:t>
      </w:r>
    </w:p>
    <w:p w14:paraId="57149321" w14:textId="689D49B5" w:rsidR="00390F13" w:rsidRDefault="00390F13" w:rsidP="00771A30">
      <w:pPr>
        <w:jc w:val="center"/>
        <w:rPr>
          <w:b/>
          <w:bCs/>
          <w:sz w:val="36"/>
          <w:szCs w:val="36"/>
        </w:rPr>
      </w:pPr>
      <w:r>
        <w:t>THE SERVICES BELOW ARE NOT FUNDED BY THE NHS. THE PRACTICE HAS TO RECOVER THE COST OF THIS WORK FROM THE PATIENT</w:t>
      </w:r>
    </w:p>
    <w:tbl>
      <w:tblPr>
        <w:tblStyle w:val="TableGrid"/>
        <w:tblW w:w="14884" w:type="dxa"/>
        <w:tblInd w:w="-572" w:type="dxa"/>
        <w:tblLook w:val="04A0" w:firstRow="1" w:lastRow="0" w:firstColumn="1" w:lastColumn="0" w:noHBand="0" w:noVBand="1"/>
      </w:tblPr>
      <w:tblGrid>
        <w:gridCol w:w="7088"/>
        <w:gridCol w:w="2693"/>
        <w:gridCol w:w="2410"/>
        <w:gridCol w:w="2693"/>
      </w:tblGrid>
      <w:tr w:rsidR="007B78FD" w14:paraId="714BC410" w14:textId="2CF84BEB" w:rsidTr="007B78FD">
        <w:tc>
          <w:tcPr>
            <w:tcW w:w="14884" w:type="dxa"/>
            <w:gridSpan w:val="4"/>
          </w:tcPr>
          <w:p w14:paraId="478FC37F" w14:textId="23F0D161" w:rsidR="007B78FD" w:rsidRPr="00FE4B91" w:rsidRDefault="007B78FD" w:rsidP="00464F22">
            <w:pPr>
              <w:jc w:val="center"/>
              <w:rPr>
                <w:sz w:val="6"/>
                <w:szCs w:val="6"/>
              </w:rPr>
            </w:pPr>
          </w:p>
        </w:tc>
      </w:tr>
      <w:tr w:rsidR="007B78FD" w14:paraId="6B78C810" w14:textId="2FF8C996" w:rsidTr="007B78FD">
        <w:tc>
          <w:tcPr>
            <w:tcW w:w="7088" w:type="dxa"/>
          </w:tcPr>
          <w:p w14:paraId="4BC27531" w14:textId="35464669" w:rsidR="007B78FD" w:rsidRPr="0028761F" w:rsidRDefault="007B78FD" w:rsidP="00A84F8A">
            <w:pPr>
              <w:jc w:val="center"/>
              <w:rPr>
                <w:b/>
                <w:bCs/>
                <w:sz w:val="20"/>
                <w:szCs w:val="20"/>
              </w:rPr>
            </w:pPr>
            <w:r w:rsidRPr="0038624C">
              <w:rPr>
                <w:b/>
                <w:bCs/>
              </w:rPr>
              <w:t>CERTIFICATES, REPORTS (NO EXAMINATION)</w:t>
            </w:r>
          </w:p>
        </w:tc>
        <w:tc>
          <w:tcPr>
            <w:tcW w:w="2693" w:type="dxa"/>
          </w:tcPr>
          <w:p w14:paraId="7E16B269" w14:textId="4C72C5AC" w:rsidR="007B78FD" w:rsidRPr="0028761F" w:rsidRDefault="007B78FD" w:rsidP="00A84F8A">
            <w:pPr>
              <w:jc w:val="center"/>
              <w:rPr>
                <w:b/>
                <w:bCs/>
              </w:rPr>
            </w:pPr>
            <w:r>
              <w:rPr>
                <w:b/>
                <w:bCs/>
              </w:rPr>
              <w:t>STANDARD RATE</w:t>
            </w:r>
          </w:p>
        </w:tc>
        <w:tc>
          <w:tcPr>
            <w:tcW w:w="2410" w:type="dxa"/>
          </w:tcPr>
          <w:p w14:paraId="47C76FA3" w14:textId="2DF46F8D" w:rsidR="007B78FD" w:rsidRPr="0028761F" w:rsidRDefault="007B78FD" w:rsidP="00A84F8A">
            <w:pPr>
              <w:jc w:val="center"/>
              <w:rPr>
                <w:b/>
                <w:bCs/>
              </w:rPr>
            </w:pPr>
            <w:r>
              <w:rPr>
                <w:b/>
                <w:bCs/>
              </w:rPr>
              <w:t>VAT</w:t>
            </w:r>
          </w:p>
        </w:tc>
        <w:tc>
          <w:tcPr>
            <w:tcW w:w="2693" w:type="dxa"/>
          </w:tcPr>
          <w:p w14:paraId="4912A60B" w14:textId="444FBA8D" w:rsidR="007B78FD" w:rsidRPr="0028761F" w:rsidRDefault="007B78FD" w:rsidP="00A84F8A">
            <w:pPr>
              <w:jc w:val="center"/>
              <w:rPr>
                <w:b/>
                <w:bCs/>
              </w:rPr>
            </w:pPr>
            <w:r>
              <w:rPr>
                <w:b/>
                <w:bCs/>
              </w:rPr>
              <w:t xml:space="preserve">CHARGEABLE TOTAL </w:t>
            </w:r>
          </w:p>
        </w:tc>
      </w:tr>
      <w:tr w:rsidR="007B78FD" w:rsidRPr="00EA35E8" w14:paraId="0D59DC89" w14:textId="0064831C" w:rsidTr="007B78FD">
        <w:tc>
          <w:tcPr>
            <w:tcW w:w="7088" w:type="dxa"/>
          </w:tcPr>
          <w:p w14:paraId="13A00660" w14:textId="3CC51718" w:rsidR="007B78FD" w:rsidRPr="00EA35E8" w:rsidRDefault="007B78FD" w:rsidP="00A84F8A">
            <w:r w:rsidRPr="00EA35E8">
              <w:t>Any letter To Whom It May Concern</w:t>
            </w:r>
          </w:p>
        </w:tc>
        <w:tc>
          <w:tcPr>
            <w:tcW w:w="2693" w:type="dxa"/>
          </w:tcPr>
          <w:p w14:paraId="7D214E63" w14:textId="5F606D03" w:rsidR="007B78FD" w:rsidRPr="00EA35E8" w:rsidRDefault="007B78FD" w:rsidP="00A84F8A">
            <w:pPr>
              <w:jc w:val="center"/>
            </w:pPr>
            <w:r w:rsidRPr="00EA35E8">
              <w:t>£26.25</w:t>
            </w:r>
          </w:p>
        </w:tc>
        <w:tc>
          <w:tcPr>
            <w:tcW w:w="2410" w:type="dxa"/>
          </w:tcPr>
          <w:p w14:paraId="01C9310B" w14:textId="3DD9961B" w:rsidR="007B78FD" w:rsidRPr="00EA35E8" w:rsidRDefault="007B78FD" w:rsidP="00A84F8A">
            <w:pPr>
              <w:jc w:val="center"/>
            </w:pPr>
            <w:r w:rsidRPr="00EA35E8">
              <w:t>£5.25</w:t>
            </w:r>
          </w:p>
        </w:tc>
        <w:tc>
          <w:tcPr>
            <w:tcW w:w="2693" w:type="dxa"/>
          </w:tcPr>
          <w:p w14:paraId="1E6B16E4" w14:textId="02B2E11A" w:rsidR="007B78FD" w:rsidRPr="00EA35E8" w:rsidRDefault="007B78FD" w:rsidP="00A84F8A">
            <w:pPr>
              <w:jc w:val="center"/>
            </w:pPr>
            <w:r w:rsidRPr="00EA35E8">
              <w:t>£31.50</w:t>
            </w:r>
          </w:p>
        </w:tc>
      </w:tr>
      <w:tr w:rsidR="007B78FD" w:rsidRPr="00EA35E8" w14:paraId="0E6F4038" w14:textId="3413B087" w:rsidTr="007B78FD">
        <w:tc>
          <w:tcPr>
            <w:tcW w:w="7088" w:type="dxa"/>
          </w:tcPr>
          <w:p w14:paraId="4B6E249F" w14:textId="37C34331" w:rsidR="007B78FD" w:rsidRPr="00EA35E8" w:rsidRDefault="007B78FD" w:rsidP="00A84F8A">
            <w:r w:rsidRPr="00EA35E8">
              <w:t>GP factual report for disability living allowance and attendance allowance</w:t>
            </w:r>
          </w:p>
        </w:tc>
        <w:tc>
          <w:tcPr>
            <w:tcW w:w="2693" w:type="dxa"/>
          </w:tcPr>
          <w:p w14:paraId="5B7FD215" w14:textId="13ED5362" w:rsidR="007B78FD" w:rsidRPr="00EA35E8" w:rsidRDefault="008921BC" w:rsidP="00A84F8A">
            <w:pPr>
              <w:jc w:val="center"/>
            </w:pPr>
            <w:r w:rsidRPr="00EA35E8">
              <w:t>£</w:t>
            </w:r>
            <w:r w:rsidR="00872A1D">
              <w:t>70</w:t>
            </w:r>
          </w:p>
        </w:tc>
        <w:tc>
          <w:tcPr>
            <w:tcW w:w="2410" w:type="dxa"/>
          </w:tcPr>
          <w:p w14:paraId="51AB662A" w14:textId="336BB8D3" w:rsidR="007B78FD" w:rsidRPr="00EA35E8" w:rsidRDefault="008921BC" w:rsidP="00A84F8A">
            <w:pPr>
              <w:jc w:val="center"/>
            </w:pPr>
            <w:r w:rsidRPr="00EA35E8">
              <w:t>£1</w:t>
            </w:r>
            <w:r w:rsidR="00872A1D">
              <w:t>4</w:t>
            </w:r>
          </w:p>
        </w:tc>
        <w:tc>
          <w:tcPr>
            <w:tcW w:w="2693" w:type="dxa"/>
          </w:tcPr>
          <w:p w14:paraId="377B40BC" w14:textId="5E858382" w:rsidR="007B78FD" w:rsidRPr="00EA35E8" w:rsidRDefault="008921BC" w:rsidP="00A84F8A">
            <w:pPr>
              <w:jc w:val="center"/>
            </w:pPr>
            <w:r w:rsidRPr="00EA35E8">
              <w:t>£</w:t>
            </w:r>
            <w:r>
              <w:t>84</w:t>
            </w:r>
            <w:r w:rsidRPr="00EA35E8">
              <w:t>.00</w:t>
            </w:r>
          </w:p>
        </w:tc>
      </w:tr>
      <w:tr w:rsidR="007B78FD" w:rsidRPr="00EA35E8" w14:paraId="291CF1CD" w14:textId="1CA9D71A" w:rsidTr="007B78FD">
        <w:tc>
          <w:tcPr>
            <w:tcW w:w="7088" w:type="dxa"/>
          </w:tcPr>
          <w:p w14:paraId="5CFF689A" w14:textId="2716D831" w:rsidR="007B78FD" w:rsidRPr="00EA35E8" w:rsidRDefault="007B78FD" w:rsidP="00A84F8A">
            <w:r w:rsidRPr="00EA35E8">
              <w:t>Fee for completing Form DS1500</w:t>
            </w:r>
            <w:r w:rsidR="00371764">
              <w:t xml:space="preserve"> / SR1</w:t>
            </w:r>
          </w:p>
        </w:tc>
        <w:tc>
          <w:tcPr>
            <w:tcW w:w="2693" w:type="dxa"/>
          </w:tcPr>
          <w:p w14:paraId="4D5CC7FE" w14:textId="4365DE2E" w:rsidR="007B78FD" w:rsidRPr="00EA35E8" w:rsidRDefault="007B78FD" w:rsidP="00A84F8A">
            <w:pPr>
              <w:jc w:val="center"/>
            </w:pPr>
            <w:r w:rsidRPr="00EA35E8">
              <w:t>£</w:t>
            </w:r>
            <w:r w:rsidR="00872A1D">
              <w:t>70</w:t>
            </w:r>
          </w:p>
        </w:tc>
        <w:tc>
          <w:tcPr>
            <w:tcW w:w="2410" w:type="dxa"/>
          </w:tcPr>
          <w:p w14:paraId="7B713243" w14:textId="285D5209" w:rsidR="007B78FD" w:rsidRPr="00EA35E8" w:rsidRDefault="007B78FD" w:rsidP="00A84F8A">
            <w:pPr>
              <w:jc w:val="center"/>
            </w:pPr>
            <w:r w:rsidRPr="00EA35E8">
              <w:t>£1</w:t>
            </w:r>
            <w:r w:rsidR="00872A1D">
              <w:t>4</w:t>
            </w:r>
          </w:p>
        </w:tc>
        <w:tc>
          <w:tcPr>
            <w:tcW w:w="2693" w:type="dxa"/>
          </w:tcPr>
          <w:p w14:paraId="40A2301F" w14:textId="11ED65F4" w:rsidR="007B78FD" w:rsidRPr="00EA35E8" w:rsidRDefault="007B78FD" w:rsidP="00A84F8A">
            <w:pPr>
              <w:jc w:val="center"/>
            </w:pPr>
            <w:r w:rsidRPr="00EA35E8">
              <w:t>£</w:t>
            </w:r>
            <w:r w:rsidR="008921BC">
              <w:t>84</w:t>
            </w:r>
            <w:r w:rsidRPr="00EA35E8">
              <w:t>.00</w:t>
            </w:r>
          </w:p>
        </w:tc>
      </w:tr>
      <w:tr w:rsidR="007B78FD" w:rsidRPr="00EA35E8" w14:paraId="7E64DBEC" w14:textId="378297E3" w:rsidTr="007B78FD">
        <w:tc>
          <w:tcPr>
            <w:tcW w:w="7088" w:type="dxa"/>
          </w:tcPr>
          <w:p w14:paraId="715B6737" w14:textId="77777777" w:rsidR="007B78FD" w:rsidRPr="00EA35E8" w:rsidRDefault="007B78FD" w:rsidP="00A84F8A"/>
        </w:tc>
        <w:tc>
          <w:tcPr>
            <w:tcW w:w="2693" w:type="dxa"/>
          </w:tcPr>
          <w:p w14:paraId="5A938BCF" w14:textId="77777777" w:rsidR="007B78FD" w:rsidRPr="00EA35E8" w:rsidRDefault="007B78FD" w:rsidP="00A84F8A">
            <w:pPr>
              <w:jc w:val="center"/>
            </w:pPr>
          </w:p>
        </w:tc>
        <w:tc>
          <w:tcPr>
            <w:tcW w:w="2410" w:type="dxa"/>
          </w:tcPr>
          <w:p w14:paraId="69677484" w14:textId="77777777" w:rsidR="007B78FD" w:rsidRPr="00EA35E8" w:rsidRDefault="007B78FD" w:rsidP="00A84F8A">
            <w:pPr>
              <w:jc w:val="center"/>
            </w:pPr>
          </w:p>
        </w:tc>
        <w:tc>
          <w:tcPr>
            <w:tcW w:w="2693" w:type="dxa"/>
          </w:tcPr>
          <w:p w14:paraId="40EDD082" w14:textId="77777777" w:rsidR="007B78FD" w:rsidRPr="00EA35E8" w:rsidRDefault="007B78FD" w:rsidP="00A84F8A">
            <w:pPr>
              <w:jc w:val="center"/>
            </w:pPr>
          </w:p>
        </w:tc>
      </w:tr>
      <w:tr w:rsidR="007B78FD" w:rsidRPr="00EA35E8" w14:paraId="6915090C" w14:textId="16000F11" w:rsidTr="007B78FD">
        <w:tc>
          <w:tcPr>
            <w:tcW w:w="7088" w:type="dxa"/>
          </w:tcPr>
          <w:p w14:paraId="7E55DE9F" w14:textId="7C3639D4" w:rsidR="007B78FD" w:rsidRPr="00EA35E8" w:rsidRDefault="007B78FD" w:rsidP="00A84F8A">
            <w:pPr>
              <w:jc w:val="center"/>
              <w:rPr>
                <w:b/>
                <w:bCs/>
              </w:rPr>
            </w:pPr>
            <w:r w:rsidRPr="00EA35E8">
              <w:rPr>
                <w:b/>
                <w:bCs/>
              </w:rPr>
              <w:t>CERTIFICATE OF FITNESS</w:t>
            </w:r>
          </w:p>
        </w:tc>
        <w:tc>
          <w:tcPr>
            <w:tcW w:w="2693" w:type="dxa"/>
          </w:tcPr>
          <w:p w14:paraId="3F4A7D90" w14:textId="49C31074" w:rsidR="007B78FD" w:rsidRPr="00EA35E8" w:rsidRDefault="007B78FD" w:rsidP="00A84F8A">
            <w:pPr>
              <w:jc w:val="center"/>
            </w:pPr>
            <w:r w:rsidRPr="00EA35E8">
              <w:rPr>
                <w:b/>
                <w:bCs/>
              </w:rPr>
              <w:t>CHARGEABLE TOTAL</w:t>
            </w:r>
          </w:p>
        </w:tc>
        <w:tc>
          <w:tcPr>
            <w:tcW w:w="2410" w:type="dxa"/>
            <w:shd w:val="clear" w:color="auto" w:fill="D9D9D9" w:themeFill="background1" w:themeFillShade="D9"/>
          </w:tcPr>
          <w:p w14:paraId="27BFC445" w14:textId="58FD8301" w:rsidR="007B78FD" w:rsidRPr="00EA35E8" w:rsidRDefault="007B78FD" w:rsidP="00A84F8A">
            <w:pPr>
              <w:jc w:val="center"/>
            </w:pPr>
          </w:p>
        </w:tc>
        <w:tc>
          <w:tcPr>
            <w:tcW w:w="2693" w:type="dxa"/>
            <w:shd w:val="clear" w:color="auto" w:fill="D9D9D9" w:themeFill="background1" w:themeFillShade="D9"/>
          </w:tcPr>
          <w:p w14:paraId="02D9656F" w14:textId="61323B8A" w:rsidR="007B78FD" w:rsidRPr="00EA35E8" w:rsidRDefault="007B78FD" w:rsidP="00A84F8A">
            <w:pPr>
              <w:jc w:val="center"/>
            </w:pPr>
          </w:p>
        </w:tc>
      </w:tr>
      <w:tr w:rsidR="007B78FD" w:rsidRPr="00EA35E8" w14:paraId="33A7D23C" w14:textId="34FA8469" w:rsidTr="007B78FD">
        <w:tc>
          <w:tcPr>
            <w:tcW w:w="7088" w:type="dxa"/>
          </w:tcPr>
          <w:p w14:paraId="6708F444" w14:textId="0E58609F" w:rsidR="007B78FD" w:rsidRPr="00EA35E8" w:rsidRDefault="007B78FD" w:rsidP="00A84F8A">
            <w:r w:rsidRPr="00EA35E8">
              <w:t xml:space="preserve">Travel, school, sport, seat belt exemption, employment </w:t>
            </w:r>
          </w:p>
        </w:tc>
        <w:tc>
          <w:tcPr>
            <w:tcW w:w="2693" w:type="dxa"/>
          </w:tcPr>
          <w:p w14:paraId="5D8FBC8D" w14:textId="41371102" w:rsidR="007B78FD" w:rsidRPr="00EA35E8" w:rsidRDefault="007B78FD" w:rsidP="00A84F8A">
            <w:pPr>
              <w:jc w:val="center"/>
            </w:pPr>
            <w:r w:rsidRPr="00EA35E8">
              <w:t>£31.25</w:t>
            </w:r>
          </w:p>
        </w:tc>
        <w:tc>
          <w:tcPr>
            <w:tcW w:w="2410" w:type="dxa"/>
          </w:tcPr>
          <w:p w14:paraId="6E4163FB" w14:textId="60A0657D" w:rsidR="007B78FD" w:rsidRPr="00EA35E8" w:rsidRDefault="007B78FD" w:rsidP="00A84F8A">
            <w:pPr>
              <w:jc w:val="center"/>
            </w:pPr>
            <w:r w:rsidRPr="00EA35E8">
              <w:t>£6.25</w:t>
            </w:r>
          </w:p>
        </w:tc>
        <w:tc>
          <w:tcPr>
            <w:tcW w:w="2693" w:type="dxa"/>
          </w:tcPr>
          <w:p w14:paraId="5DA59090" w14:textId="3EF51FC4" w:rsidR="007B78FD" w:rsidRPr="00EA35E8" w:rsidRDefault="007B78FD" w:rsidP="000F39D7">
            <w:pPr>
              <w:jc w:val="center"/>
              <w:rPr>
                <w:rFonts w:cstheme="minorHAnsi"/>
                <w:color w:val="54595F"/>
                <w:sz w:val="14"/>
                <w:szCs w:val="14"/>
                <w:shd w:val="clear" w:color="auto" w:fill="FFFFFF"/>
              </w:rPr>
            </w:pPr>
            <w:r w:rsidRPr="00EA35E8">
              <w:t>£37.50</w:t>
            </w:r>
          </w:p>
        </w:tc>
      </w:tr>
      <w:tr w:rsidR="007B78FD" w:rsidRPr="00EA35E8" w14:paraId="4FDBAE09" w14:textId="39292D9E" w:rsidTr="007B78FD">
        <w:tc>
          <w:tcPr>
            <w:tcW w:w="7088" w:type="dxa"/>
          </w:tcPr>
          <w:p w14:paraId="48390D2E" w14:textId="0C020E0F" w:rsidR="007B78FD" w:rsidRPr="00EA35E8" w:rsidRDefault="007B78FD" w:rsidP="00A84F8A">
            <w:r w:rsidRPr="00EA35E8">
              <w:t xml:space="preserve">Holiday cancellation, insurance claim, private health fees </w:t>
            </w:r>
          </w:p>
        </w:tc>
        <w:tc>
          <w:tcPr>
            <w:tcW w:w="2693" w:type="dxa"/>
          </w:tcPr>
          <w:p w14:paraId="4FBB7F31" w14:textId="2DDAE14D" w:rsidR="007B78FD" w:rsidRPr="00EA35E8" w:rsidRDefault="007B78FD" w:rsidP="00A84F8A">
            <w:pPr>
              <w:jc w:val="center"/>
            </w:pPr>
            <w:r w:rsidRPr="00EA35E8">
              <w:t>£37.50</w:t>
            </w:r>
          </w:p>
        </w:tc>
        <w:tc>
          <w:tcPr>
            <w:tcW w:w="2410" w:type="dxa"/>
          </w:tcPr>
          <w:p w14:paraId="670B60B4" w14:textId="30D9C803" w:rsidR="007B78FD" w:rsidRPr="00EA35E8" w:rsidRDefault="007B78FD" w:rsidP="00A84F8A">
            <w:pPr>
              <w:jc w:val="center"/>
            </w:pPr>
            <w:r w:rsidRPr="00EA35E8">
              <w:t>£7.50</w:t>
            </w:r>
          </w:p>
        </w:tc>
        <w:tc>
          <w:tcPr>
            <w:tcW w:w="2693" w:type="dxa"/>
          </w:tcPr>
          <w:p w14:paraId="3A89B46E" w14:textId="68ACE0C9" w:rsidR="007B78FD" w:rsidRPr="00EA35E8" w:rsidRDefault="007B78FD" w:rsidP="00A84F8A">
            <w:pPr>
              <w:jc w:val="center"/>
            </w:pPr>
            <w:r w:rsidRPr="00EA35E8">
              <w:t>£45.00</w:t>
            </w:r>
          </w:p>
        </w:tc>
      </w:tr>
      <w:tr w:rsidR="007B78FD" w:rsidRPr="00EA35E8" w14:paraId="0DBA91B6" w14:textId="3E87CF1C" w:rsidTr="007B78FD">
        <w:tc>
          <w:tcPr>
            <w:tcW w:w="14884" w:type="dxa"/>
            <w:gridSpan w:val="4"/>
          </w:tcPr>
          <w:p w14:paraId="74F59DFB" w14:textId="77777777" w:rsidR="007B78FD" w:rsidRPr="00EA35E8" w:rsidRDefault="007B78FD" w:rsidP="00A84F8A">
            <w:pPr>
              <w:jc w:val="center"/>
            </w:pPr>
          </w:p>
        </w:tc>
      </w:tr>
      <w:tr w:rsidR="007B78FD" w:rsidRPr="00EA35E8" w14:paraId="1FF1CD9A" w14:textId="42114F14" w:rsidTr="007B78FD">
        <w:tc>
          <w:tcPr>
            <w:tcW w:w="7088" w:type="dxa"/>
          </w:tcPr>
          <w:p w14:paraId="580367D9" w14:textId="64FC9C56" w:rsidR="007B78FD" w:rsidRPr="00EA35E8" w:rsidRDefault="007B78FD" w:rsidP="00A84F8A">
            <w:pPr>
              <w:jc w:val="center"/>
              <w:rPr>
                <w:b/>
                <w:bCs/>
              </w:rPr>
            </w:pPr>
            <w:r w:rsidRPr="00EA35E8">
              <w:rPr>
                <w:b/>
                <w:bCs/>
              </w:rPr>
              <w:t>NON-MEDICAL SERVICES</w:t>
            </w:r>
          </w:p>
        </w:tc>
        <w:tc>
          <w:tcPr>
            <w:tcW w:w="2693" w:type="dxa"/>
          </w:tcPr>
          <w:p w14:paraId="15B3D031" w14:textId="4F8B467C" w:rsidR="007B78FD" w:rsidRPr="00EA35E8" w:rsidRDefault="007B78FD" w:rsidP="00A84F8A">
            <w:pPr>
              <w:jc w:val="center"/>
            </w:pPr>
            <w:r w:rsidRPr="00EA35E8">
              <w:rPr>
                <w:b/>
                <w:bCs/>
              </w:rPr>
              <w:t>CHARGEABLE TOTAL</w:t>
            </w:r>
          </w:p>
        </w:tc>
        <w:tc>
          <w:tcPr>
            <w:tcW w:w="2410" w:type="dxa"/>
            <w:shd w:val="clear" w:color="auto" w:fill="D9D9D9" w:themeFill="background1" w:themeFillShade="D9"/>
          </w:tcPr>
          <w:p w14:paraId="2E46B1E8" w14:textId="5912B79B" w:rsidR="007B78FD" w:rsidRPr="00EA35E8" w:rsidRDefault="007B78FD" w:rsidP="00A84F8A">
            <w:pPr>
              <w:jc w:val="center"/>
            </w:pPr>
          </w:p>
        </w:tc>
        <w:tc>
          <w:tcPr>
            <w:tcW w:w="2693" w:type="dxa"/>
            <w:shd w:val="clear" w:color="auto" w:fill="D9D9D9" w:themeFill="background1" w:themeFillShade="D9"/>
          </w:tcPr>
          <w:p w14:paraId="6923DD68" w14:textId="3652AEEF" w:rsidR="007B78FD" w:rsidRPr="00EA35E8" w:rsidRDefault="007B78FD" w:rsidP="00A84F8A"/>
        </w:tc>
      </w:tr>
      <w:tr w:rsidR="007B78FD" w:rsidRPr="00EA35E8" w14:paraId="7A78C7EE" w14:textId="5FED50C2" w:rsidTr="007B78FD">
        <w:tc>
          <w:tcPr>
            <w:tcW w:w="7088" w:type="dxa"/>
          </w:tcPr>
          <w:p w14:paraId="08DDBED6" w14:textId="3D54F8F6" w:rsidR="007B78FD" w:rsidRPr="00EA35E8" w:rsidRDefault="007B78FD" w:rsidP="00A84F8A">
            <w:r w:rsidRPr="00EA35E8">
              <w:t>Power of Attorney forms (Including patient assessment)</w:t>
            </w:r>
          </w:p>
        </w:tc>
        <w:tc>
          <w:tcPr>
            <w:tcW w:w="2693" w:type="dxa"/>
          </w:tcPr>
          <w:p w14:paraId="3DEEC6DF" w14:textId="037B1219" w:rsidR="007B78FD" w:rsidRPr="00EA35E8" w:rsidRDefault="007B78FD" w:rsidP="00A84F8A">
            <w:pPr>
              <w:jc w:val="center"/>
            </w:pPr>
            <w:r w:rsidRPr="00EA35E8">
              <w:t>£153.75</w:t>
            </w:r>
          </w:p>
        </w:tc>
        <w:tc>
          <w:tcPr>
            <w:tcW w:w="2410" w:type="dxa"/>
          </w:tcPr>
          <w:p w14:paraId="0C503C85" w14:textId="55474E8A" w:rsidR="007B78FD" w:rsidRPr="00EA35E8" w:rsidRDefault="007B78FD" w:rsidP="00A84F8A">
            <w:pPr>
              <w:jc w:val="center"/>
            </w:pPr>
            <w:r w:rsidRPr="00EA35E8">
              <w:t>£30.75</w:t>
            </w:r>
          </w:p>
        </w:tc>
        <w:tc>
          <w:tcPr>
            <w:tcW w:w="2693" w:type="dxa"/>
          </w:tcPr>
          <w:p w14:paraId="7D2E762E" w14:textId="60DFE568" w:rsidR="007B78FD" w:rsidRPr="00EA35E8" w:rsidRDefault="007B78FD" w:rsidP="00A84F8A">
            <w:pPr>
              <w:jc w:val="center"/>
            </w:pPr>
            <w:r w:rsidRPr="00EA35E8">
              <w:t>£184.50</w:t>
            </w:r>
          </w:p>
        </w:tc>
      </w:tr>
      <w:tr w:rsidR="007B78FD" w:rsidRPr="00EA35E8" w14:paraId="3A10D380" w14:textId="699CABA1" w:rsidTr="007B78FD">
        <w:tc>
          <w:tcPr>
            <w:tcW w:w="7088" w:type="dxa"/>
          </w:tcPr>
          <w:p w14:paraId="56A9CCEC" w14:textId="58DD4FFC" w:rsidR="007B78FD" w:rsidRPr="00EA35E8" w:rsidRDefault="007B78FD" w:rsidP="00A84F8A">
            <w:r w:rsidRPr="00EA35E8">
              <w:t>Power of Attorney forms (no patient assessment)</w:t>
            </w:r>
          </w:p>
        </w:tc>
        <w:tc>
          <w:tcPr>
            <w:tcW w:w="2693" w:type="dxa"/>
          </w:tcPr>
          <w:p w14:paraId="4B276495" w14:textId="38612FFF" w:rsidR="007B78FD" w:rsidRPr="00EA35E8" w:rsidRDefault="007B78FD" w:rsidP="00A84F8A">
            <w:pPr>
              <w:jc w:val="center"/>
            </w:pPr>
            <w:r w:rsidRPr="00EA35E8">
              <w:t>£85.00</w:t>
            </w:r>
          </w:p>
        </w:tc>
        <w:tc>
          <w:tcPr>
            <w:tcW w:w="2410" w:type="dxa"/>
          </w:tcPr>
          <w:p w14:paraId="414A82B8" w14:textId="2C183976" w:rsidR="007B78FD" w:rsidRPr="00EA35E8" w:rsidRDefault="007B78FD" w:rsidP="00A84F8A">
            <w:pPr>
              <w:jc w:val="center"/>
            </w:pPr>
            <w:r w:rsidRPr="00EA35E8">
              <w:t>£17.00</w:t>
            </w:r>
          </w:p>
        </w:tc>
        <w:tc>
          <w:tcPr>
            <w:tcW w:w="2693" w:type="dxa"/>
          </w:tcPr>
          <w:p w14:paraId="62859778" w14:textId="5B5888BD" w:rsidR="007B78FD" w:rsidRPr="00EA35E8" w:rsidRDefault="007B78FD" w:rsidP="00A84F8A">
            <w:pPr>
              <w:jc w:val="center"/>
            </w:pPr>
            <w:r w:rsidRPr="00EA35E8">
              <w:t>£102.00</w:t>
            </w:r>
          </w:p>
        </w:tc>
      </w:tr>
      <w:tr w:rsidR="007B78FD" w:rsidRPr="00EA35E8" w14:paraId="695D4DDE" w14:textId="20CB72D8" w:rsidTr="007B78FD">
        <w:tc>
          <w:tcPr>
            <w:tcW w:w="7088" w:type="dxa"/>
          </w:tcPr>
          <w:p w14:paraId="29D40173" w14:textId="66C8C545" w:rsidR="007B78FD" w:rsidRPr="00EA35E8" w:rsidRDefault="007B78FD" w:rsidP="00A84F8A">
            <w:r w:rsidRPr="00EA35E8">
              <w:t xml:space="preserve">Shot Gun Licence </w:t>
            </w:r>
          </w:p>
        </w:tc>
        <w:tc>
          <w:tcPr>
            <w:tcW w:w="2693" w:type="dxa"/>
          </w:tcPr>
          <w:p w14:paraId="454856F8" w14:textId="39CD568F" w:rsidR="007B78FD" w:rsidRPr="00EA35E8" w:rsidRDefault="007B78FD" w:rsidP="00A84F8A">
            <w:pPr>
              <w:jc w:val="center"/>
            </w:pPr>
            <w:r w:rsidRPr="00EA35E8">
              <w:t>£6</w:t>
            </w:r>
            <w:r w:rsidR="00FC5621">
              <w:t>6.67</w:t>
            </w:r>
          </w:p>
        </w:tc>
        <w:tc>
          <w:tcPr>
            <w:tcW w:w="2410" w:type="dxa"/>
          </w:tcPr>
          <w:p w14:paraId="033D38CC" w14:textId="1054CF68" w:rsidR="007B78FD" w:rsidRPr="00EA35E8" w:rsidRDefault="007B78FD" w:rsidP="00A84F8A">
            <w:pPr>
              <w:jc w:val="center"/>
            </w:pPr>
            <w:r w:rsidRPr="00EA35E8">
              <w:t>£</w:t>
            </w:r>
            <w:r w:rsidR="00FC5621">
              <w:t>13.33</w:t>
            </w:r>
          </w:p>
        </w:tc>
        <w:tc>
          <w:tcPr>
            <w:tcW w:w="2693" w:type="dxa"/>
          </w:tcPr>
          <w:p w14:paraId="5EB88F46" w14:textId="44C59C53" w:rsidR="007B78FD" w:rsidRPr="00EA35E8" w:rsidRDefault="007B78FD" w:rsidP="00A84F8A">
            <w:pPr>
              <w:jc w:val="center"/>
            </w:pPr>
            <w:r w:rsidRPr="00EA35E8">
              <w:t>£80</w:t>
            </w:r>
          </w:p>
        </w:tc>
      </w:tr>
      <w:tr w:rsidR="007B78FD" w:rsidRPr="00EA35E8" w14:paraId="5FEE5A70" w14:textId="2E416A77" w:rsidTr="007B78FD">
        <w:tc>
          <w:tcPr>
            <w:tcW w:w="7088" w:type="dxa"/>
          </w:tcPr>
          <w:p w14:paraId="24D56BCC" w14:textId="454CA68D" w:rsidR="007B78FD" w:rsidRPr="00EA35E8" w:rsidRDefault="007B78FD" w:rsidP="00A84F8A">
            <w:r w:rsidRPr="00EA35E8">
              <w:t>Providing copies of Electronic medical records (SAR)</w:t>
            </w:r>
          </w:p>
        </w:tc>
        <w:tc>
          <w:tcPr>
            <w:tcW w:w="2693" w:type="dxa"/>
          </w:tcPr>
          <w:p w14:paraId="2A952782" w14:textId="318775B4" w:rsidR="007B78FD" w:rsidRPr="00EA35E8" w:rsidRDefault="007B78FD" w:rsidP="00A84F8A">
            <w:pPr>
              <w:jc w:val="center"/>
            </w:pPr>
            <w:r w:rsidRPr="00EA35E8">
              <w:t>N/A</w:t>
            </w:r>
          </w:p>
        </w:tc>
        <w:tc>
          <w:tcPr>
            <w:tcW w:w="2410" w:type="dxa"/>
            <w:shd w:val="clear" w:color="auto" w:fill="D9D9D9" w:themeFill="background1" w:themeFillShade="D9"/>
          </w:tcPr>
          <w:p w14:paraId="37197B1F" w14:textId="2642F465" w:rsidR="007B78FD" w:rsidRPr="00EA35E8" w:rsidRDefault="007B78FD" w:rsidP="00A84F8A">
            <w:pPr>
              <w:jc w:val="center"/>
            </w:pPr>
          </w:p>
        </w:tc>
        <w:tc>
          <w:tcPr>
            <w:tcW w:w="2693" w:type="dxa"/>
            <w:shd w:val="clear" w:color="auto" w:fill="D9D9D9" w:themeFill="background1" w:themeFillShade="D9"/>
          </w:tcPr>
          <w:p w14:paraId="67952662" w14:textId="1DBD21C7" w:rsidR="007B78FD" w:rsidRPr="00EA35E8" w:rsidRDefault="007B78FD" w:rsidP="00A84F8A">
            <w:pPr>
              <w:jc w:val="center"/>
            </w:pPr>
          </w:p>
        </w:tc>
      </w:tr>
      <w:tr w:rsidR="007B78FD" w:rsidRPr="00EA35E8" w14:paraId="6223E33E" w14:textId="31B70049" w:rsidTr="007B78FD">
        <w:tc>
          <w:tcPr>
            <w:tcW w:w="7088" w:type="dxa"/>
          </w:tcPr>
          <w:p w14:paraId="6A7CF75F" w14:textId="37D8B949" w:rsidR="007B78FD" w:rsidRPr="00EA35E8" w:rsidRDefault="007B78FD" w:rsidP="00A84F8A">
            <w:r w:rsidRPr="00EA35E8">
              <w:t>Providing copies of Manual or a mix of manual &amp; electronic medical records</w:t>
            </w:r>
          </w:p>
        </w:tc>
        <w:tc>
          <w:tcPr>
            <w:tcW w:w="2693" w:type="dxa"/>
          </w:tcPr>
          <w:p w14:paraId="572AE954" w14:textId="12D2F956" w:rsidR="007B78FD" w:rsidRPr="00EA35E8" w:rsidRDefault="007B78FD" w:rsidP="00A84F8A">
            <w:pPr>
              <w:jc w:val="center"/>
            </w:pPr>
            <w:r w:rsidRPr="00EA35E8">
              <w:t>N/A</w:t>
            </w:r>
          </w:p>
        </w:tc>
        <w:tc>
          <w:tcPr>
            <w:tcW w:w="2410" w:type="dxa"/>
            <w:shd w:val="clear" w:color="auto" w:fill="D9D9D9" w:themeFill="background1" w:themeFillShade="D9"/>
          </w:tcPr>
          <w:p w14:paraId="244611FC" w14:textId="470A3AF4" w:rsidR="007B78FD" w:rsidRPr="00EA35E8" w:rsidRDefault="007B78FD" w:rsidP="00A84F8A">
            <w:pPr>
              <w:jc w:val="center"/>
            </w:pPr>
          </w:p>
        </w:tc>
        <w:tc>
          <w:tcPr>
            <w:tcW w:w="2693" w:type="dxa"/>
            <w:shd w:val="clear" w:color="auto" w:fill="D9D9D9" w:themeFill="background1" w:themeFillShade="D9"/>
          </w:tcPr>
          <w:p w14:paraId="2F2CBB8D" w14:textId="6D6D7424" w:rsidR="007B78FD" w:rsidRPr="00EA35E8" w:rsidRDefault="007B78FD" w:rsidP="00A84F8A">
            <w:pPr>
              <w:jc w:val="center"/>
            </w:pPr>
          </w:p>
        </w:tc>
      </w:tr>
    </w:tbl>
    <w:p w14:paraId="478D17B6" w14:textId="5D3847E2" w:rsidR="00BE38E7" w:rsidRPr="00EA35E8" w:rsidRDefault="00BE38E7"/>
    <w:tbl>
      <w:tblPr>
        <w:tblStyle w:val="TableGrid"/>
        <w:tblW w:w="14884" w:type="dxa"/>
        <w:tblInd w:w="-572" w:type="dxa"/>
        <w:tblLook w:val="04A0" w:firstRow="1" w:lastRow="0" w:firstColumn="1" w:lastColumn="0" w:noHBand="0" w:noVBand="1"/>
      </w:tblPr>
      <w:tblGrid>
        <w:gridCol w:w="7088"/>
        <w:gridCol w:w="2693"/>
        <w:gridCol w:w="2410"/>
        <w:gridCol w:w="2693"/>
      </w:tblGrid>
      <w:tr w:rsidR="007B78FD" w:rsidRPr="00EA35E8" w14:paraId="0C067D9C" w14:textId="5EC4E1DF" w:rsidTr="007B78FD">
        <w:tc>
          <w:tcPr>
            <w:tcW w:w="7088" w:type="dxa"/>
          </w:tcPr>
          <w:p w14:paraId="5C70C8F2" w14:textId="091464D5" w:rsidR="007B78FD" w:rsidRPr="00EA35E8" w:rsidRDefault="007B78FD" w:rsidP="00771A30">
            <w:pPr>
              <w:jc w:val="center"/>
              <w:rPr>
                <w:b/>
                <w:bCs/>
              </w:rPr>
            </w:pPr>
            <w:r w:rsidRPr="00EA35E8">
              <w:rPr>
                <w:b/>
                <w:bCs/>
              </w:rPr>
              <w:t>INSURANCE REPORTS</w:t>
            </w:r>
          </w:p>
        </w:tc>
        <w:tc>
          <w:tcPr>
            <w:tcW w:w="2693" w:type="dxa"/>
          </w:tcPr>
          <w:p w14:paraId="6DD9DC61" w14:textId="3755D43E" w:rsidR="007B78FD" w:rsidRPr="00EA35E8" w:rsidRDefault="007B78FD" w:rsidP="00771A30">
            <w:pPr>
              <w:jc w:val="center"/>
            </w:pPr>
            <w:r w:rsidRPr="00EA35E8">
              <w:rPr>
                <w:b/>
                <w:bCs/>
              </w:rPr>
              <w:t>CHARGEABLE TOTAL</w:t>
            </w:r>
          </w:p>
        </w:tc>
        <w:tc>
          <w:tcPr>
            <w:tcW w:w="2410" w:type="dxa"/>
            <w:shd w:val="clear" w:color="auto" w:fill="D9D9D9" w:themeFill="background1" w:themeFillShade="D9"/>
          </w:tcPr>
          <w:p w14:paraId="59E867BA" w14:textId="1A6E1222" w:rsidR="007B78FD" w:rsidRPr="00EA35E8" w:rsidRDefault="007B78FD" w:rsidP="00771A30">
            <w:pPr>
              <w:jc w:val="center"/>
              <w:rPr>
                <w:b/>
                <w:bCs/>
              </w:rPr>
            </w:pPr>
          </w:p>
        </w:tc>
        <w:tc>
          <w:tcPr>
            <w:tcW w:w="2693" w:type="dxa"/>
            <w:shd w:val="clear" w:color="auto" w:fill="D9D9D9" w:themeFill="background1" w:themeFillShade="D9"/>
          </w:tcPr>
          <w:p w14:paraId="43E03964" w14:textId="1D0DD594" w:rsidR="007B78FD" w:rsidRPr="00EA35E8" w:rsidRDefault="007B78FD" w:rsidP="00771A30">
            <w:pPr>
              <w:jc w:val="center"/>
              <w:rPr>
                <w:b/>
                <w:bCs/>
              </w:rPr>
            </w:pPr>
          </w:p>
        </w:tc>
      </w:tr>
      <w:tr w:rsidR="007B78FD" w:rsidRPr="00EA35E8" w14:paraId="1F8B11C0" w14:textId="7D3E3D69" w:rsidTr="007B78FD">
        <w:tc>
          <w:tcPr>
            <w:tcW w:w="7088" w:type="dxa"/>
          </w:tcPr>
          <w:p w14:paraId="700D79B3" w14:textId="2ED38419" w:rsidR="007B78FD" w:rsidRPr="00EA35E8" w:rsidRDefault="007B78FD">
            <w:r w:rsidRPr="00EA35E8">
              <w:t>GPR / Heath Report</w:t>
            </w:r>
          </w:p>
        </w:tc>
        <w:tc>
          <w:tcPr>
            <w:tcW w:w="2693" w:type="dxa"/>
          </w:tcPr>
          <w:p w14:paraId="5002B26D" w14:textId="30FFD2D1" w:rsidR="007B78FD" w:rsidRPr="00227B0B" w:rsidRDefault="007B78FD" w:rsidP="00771A30">
            <w:pPr>
              <w:jc w:val="center"/>
            </w:pPr>
            <w:r w:rsidRPr="00227B0B">
              <w:t>£13</w:t>
            </w:r>
            <w:r w:rsidR="00227B0B" w:rsidRPr="00227B0B">
              <w:t>9</w:t>
            </w:r>
          </w:p>
        </w:tc>
        <w:tc>
          <w:tcPr>
            <w:tcW w:w="2410" w:type="dxa"/>
          </w:tcPr>
          <w:p w14:paraId="1283D6BE" w14:textId="51F7E6FD" w:rsidR="007B78FD" w:rsidRPr="00227B0B" w:rsidRDefault="007B78FD" w:rsidP="00771A30">
            <w:pPr>
              <w:jc w:val="center"/>
            </w:pPr>
            <w:r w:rsidRPr="00227B0B">
              <w:t>N/A</w:t>
            </w:r>
          </w:p>
        </w:tc>
        <w:tc>
          <w:tcPr>
            <w:tcW w:w="2693" w:type="dxa"/>
          </w:tcPr>
          <w:p w14:paraId="66D1F403" w14:textId="19546D61" w:rsidR="007B78FD" w:rsidRPr="00227B0B" w:rsidRDefault="007B78FD" w:rsidP="00771A30">
            <w:pPr>
              <w:jc w:val="center"/>
            </w:pPr>
            <w:r w:rsidRPr="00227B0B">
              <w:t>£13</w:t>
            </w:r>
            <w:r w:rsidR="00227B0B" w:rsidRPr="00227B0B">
              <w:t>9</w:t>
            </w:r>
          </w:p>
        </w:tc>
      </w:tr>
      <w:tr w:rsidR="007B78FD" w:rsidRPr="00EA35E8" w14:paraId="28A6425D" w14:textId="0664818C" w:rsidTr="007B78FD">
        <w:tc>
          <w:tcPr>
            <w:tcW w:w="7088" w:type="dxa"/>
          </w:tcPr>
          <w:p w14:paraId="3534B37D" w14:textId="46A99C76" w:rsidR="007B78FD" w:rsidRPr="00EA35E8" w:rsidRDefault="007B78FD">
            <w:r w:rsidRPr="00EA35E8">
              <w:t>Target report</w:t>
            </w:r>
          </w:p>
        </w:tc>
        <w:tc>
          <w:tcPr>
            <w:tcW w:w="2693" w:type="dxa"/>
          </w:tcPr>
          <w:p w14:paraId="41D699DA" w14:textId="48A4B350" w:rsidR="007B78FD" w:rsidRPr="00EA35E8" w:rsidRDefault="007B78FD" w:rsidP="00771A30">
            <w:pPr>
              <w:jc w:val="center"/>
            </w:pPr>
            <w:r w:rsidRPr="00EA35E8">
              <w:t>£100</w:t>
            </w:r>
          </w:p>
        </w:tc>
        <w:tc>
          <w:tcPr>
            <w:tcW w:w="2410" w:type="dxa"/>
          </w:tcPr>
          <w:p w14:paraId="60D9190F" w14:textId="67259AAA" w:rsidR="007B78FD" w:rsidRPr="00EA35E8" w:rsidRDefault="007B78FD" w:rsidP="00771A30">
            <w:pPr>
              <w:jc w:val="center"/>
            </w:pPr>
            <w:r w:rsidRPr="00EA35E8">
              <w:t>N/A</w:t>
            </w:r>
          </w:p>
        </w:tc>
        <w:tc>
          <w:tcPr>
            <w:tcW w:w="2693" w:type="dxa"/>
          </w:tcPr>
          <w:p w14:paraId="03A33EA0" w14:textId="2A168593" w:rsidR="007B78FD" w:rsidRPr="00EA35E8" w:rsidRDefault="007B78FD" w:rsidP="00771A30">
            <w:pPr>
              <w:jc w:val="center"/>
            </w:pPr>
            <w:r w:rsidRPr="00EA35E8">
              <w:t>£100</w:t>
            </w:r>
          </w:p>
        </w:tc>
      </w:tr>
      <w:tr w:rsidR="007B78FD" w:rsidRPr="00EA35E8" w14:paraId="177BC41A" w14:textId="6B1FAD21" w:rsidTr="007B78FD">
        <w:tc>
          <w:tcPr>
            <w:tcW w:w="7088" w:type="dxa"/>
          </w:tcPr>
          <w:p w14:paraId="7AF9481A" w14:textId="7284BC5C" w:rsidR="007B78FD" w:rsidRPr="00EA35E8" w:rsidRDefault="007B78FD">
            <w:r w:rsidRPr="00EA35E8">
              <w:t>Supplementary reports (further info requests)</w:t>
            </w:r>
          </w:p>
        </w:tc>
        <w:tc>
          <w:tcPr>
            <w:tcW w:w="2693" w:type="dxa"/>
          </w:tcPr>
          <w:p w14:paraId="48500F39" w14:textId="60BDACC9" w:rsidR="007B78FD" w:rsidRPr="00EA35E8" w:rsidRDefault="007B78FD" w:rsidP="00771A30">
            <w:pPr>
              <w:jc w:val="center"/>
            </w:pPr>
            <w:r w:rsidRPr="00EA35E8">
              <w:t xml:space="preserve">£36 </w:t>
            </w:r>
          </w:p>
        </w:tc>
        <w:tc>
          <w:tcPr>
            <w:tcW w:w="2410" w:type="dxa"/>
          </w:tcPr>
          <w:p w14:paraId="4264C843" w14:textId="5F1D02D3" w:rsidR="007B78FD" w:rsidRPr="00EA35E8" w:rsidRDefault="007B78FD" w:rsidP="007B78FD">
            <w:pPr>
              <w:jc w:val="center"/>
            </w:pPr>
            <w:r w:rsidRPr="00EA35E8">
              <w:t>N/A</w:t>
            </w:r>
          </w:p>
        </w:tc>
        <w:tc>
          <w:tcPr>
            <w:tcW w:w="2693" w:type="dxa"/>
          </w:tcPr>
          <w:p w14:paraId="2F6381EA" w14:textId="7A88CA2A" w:rsidR="007B78FD" w:rsidRPr="00EA35E8" w:rsidRDefault="007B78FD" w:rsidP="00771A30">
            <w:pPr>
              <w:jc w:val="center"/>
            </w:pPr>
            <w:r w:rsidRPr="00EA35E8">
              <w:t>£36</w:t>
            </w:r>
          </w:p>
        </w:tc>
      </w:tr>
    </w:tbl>
    <w:p w14:paraId="532A98E5" w14:textId="77777777" w:rsidR="00771A30" w:rsidRPr="00EA35E8" w:rsidRDefault="00771A30"/>
    <w:tbl>
      <w:tblPr>
        <w:tblStyle w:val="TableGrid"/>
        <w:tblW w:w="14884" w:type="dxa"/>
        <w:tblInd w:w="-572" w:type="dxa"/>
        <w:tblLook w:val="04A0" w:firstRow="1" w:lastRow="0" w:firstColumn="1" w:lastColumn="0" w:noHBand="0" w:noVBand="1"/>
      </w:tblPr>
      <w:tblGrid>
        <w:gridCol w:w="7088"/>
        <w:gridCol w:w="2693"/>
        <w:gridCol w:w="2410"/>
        <w:gridCol w:w="2693"/>
      </w:tblGrid>
      <w:tr w:rsidR="007B78FD" w:rsidRPr="00EA35E8" w14:paraId="5208E5E6" w14:textId="74DE1C31" w:rsidTr="007B78FD">
        <w:tc>
          <w:tcPr>
            <w:tcW w:w="7088" w:type="dxa"/>
          </w:tcPr>
          <w:p w14:paraId="34B6AFAA" w14:textId="0F33FADF" w:rsidR="007B78FD" w:rsidRPr="00EA35E8" w:rsidRDefault="007B78FD" w:rsidP="000A4710">
            <w:pPr>
              <w:jc w:val="center"/>
            </w:pPr>
            <w:r w:rsidRPr="00EA35E8">
              <w:rPr>
                <w:b/>
                <w:bCs/>
              </w:rPr>
              <w:t>FOSTERING AND ADOPTION</w:t>
            </w:r>
          </w:p>
        </w:tc>
        <w:tc>
          <w:tcPr>
            <w:tcW w:w="2693" w:type="dxa"/>
          </w:tcPr>
          <w:p w14:paraId="5F7DD549" w14:textId="3801D0C8" w:rsidR="007B78FD" w:rsidRPr="00EA35E8" w:rsidRDefault="007B78FD" w:rsidP="000A4710">
            <w:pPr>
              <w:jc w:val="center"/>
            </w:pPr>
            <w:r w:rsidRPr="00EA35E8">
              <w:rPr>
                <w:b/>
                <w:bCs/>
              </w:rPr>
              <w:t>STANDARD RATE</w:t>
            </w:r>
          </w:p>
        </w:tc>
        <w:tc>
          <w:tcPr>
            <w:tcW w:w="2410" w:type="dxa"/>
            <w:shd w:val="clear" w:color="auto" w:fill="D9D9D9" w:themeFill="background1" w:themeFillShade="D9"/>
          </w:tcPr>
          <w:p w14:paraId="796C4B20" w14:textId="399269A4" w:rsidR="007B78FD" w:rsidRPr="00EA35E8" w:rsidRDefault="007B78FD" w:rsidP="000A4710">
            <w:pPr>
              <w:jc w:val="center"/>
            </w:pPr>
          </w:p>
        </w:tc>
        <w:tc>
          <w:tcPr>
            <w:tcW w:w="2693" w:type="dxa"/>
            <w:shd w:val="clear" w:color="auto" w:fill="D9D9D9" w:themeFill="background1" w:themeFillShade="D9"/>
          </w:tcPr>
          <w:p w14:paraId="4A8B0342" w14:textId="36C73E92" w:rsidR="007B78FD" w:rsidRPr="00EA35E8" w:rsidRDefault="007B78FD" w:rsidP="000A4710">
            <w:pPr>
              <w:jc w:val="center"/>
            </w:pPr>
          </w:p>
        </w:tc>
      </w:tr>
      <w:tr w:rsidR="007B78FD" w:rsidRPr="00EA35E8" w14:paraId="7DF40D3C" w14:textId="14AE2D6D" w:rsidTr="007B78FD">
        <w:tc>
          <w:tcPr>
            <w:tcW w:w="7088" w:type="dxa"/>
          </w:tcPr>
          <w:p w14:paraId="3A688A1D" w14:textId="6A40A405" w:rsidR="007B78FD" w:rsidRPr="00EA35E8" w:rsidRDefault="007B78FD">
            <w:r w:rsidRPr="00EA35E8">
              <w:t>Form AH – Health assessment on a prospective carer</w:t>
            </w:r>
          </w:p>
        </w:tc>
        <w:tc>
          <w:tcPr>
            <w:tcW w:w="2693" w:type="dxa"/>
          </w:tcPr>
          <w:p w14:paraId="5787410B" w14:textId="266803B3" w:rsidR="007B78FD" w:rsidRPr="00EA35E8" w:rsidRDefault="007B78FD" w:rsidP="000A4710">
            <w:pPr>
              <w:jc w:val="center"/>
            </w:pPr>
            <w:r w:rsidRPr="00EA35E8">
              <w:t>£73.86</w:t>
            </w:r>
          </w:p>
        </w:tc>
        <w:tc>
          <w:tcPr>
            <w:tcW w:w="2410" w:type="dxa"/>
          </w:tcPr>
          <w:p w14:paraId="7AD719E9" w14:textId="3C9D47FB" w:rsidR="007B78FD" w:rsidRPr="00EA35E8" w:rsidRDefault="007B78FD" w:rsidP="00771A30">
            <w:pPr>
              <w:jc w:val="center"/>
            </w:pPr>
            <w:r w:rsidRPr="00EA35E8">
              <w:t>£14.77</w:t>
            </w:r>
          </w:p>
        </w:tc>
        <w:tc>
          <w:tcPr>
            <w:tcW w:w="2693" w:type="dxa"/>
          </w:tcPr>
          <w:p w14:paraId="2909F476" w14:textId="7BB330C7" w:rsidR="007B78FD" w:rsidRPr="00EA35E8" w:rsidRDefault="007B78FD" w:rsidP="00771A30">
            <w:pPr>
              <w:jc w:val="center"/>
            </w:pPr>
            <w:r w:rsidRPr="00EA35E8">
              <w:t>£88.63</w:t>
            </w:r>
          </w:p>
        </w:tc>
      </w:tr>
      <w:tr w:rsidR="007B78FD" w:rsidRPr="00EA35E8" w14:paraId="513C2081" w14:textId="2AAFE74B" w:rsidTr="007B78FD">
        <w:tc>
          <w:tcPr>
            <w:tcW w:w="7088" w:type="dxa"/>
          </w:tcPr>
          <w:p w14:paraId="67163463" w14:textId="16FB962D" w:rsidR="007B78FD" w:rsidRPr="00EA35E8" w:rsidRDefault="007B78FD">
            <w:r w:rsidRPr="00EA35E8">
              <w:t>Form AH2 – Update report on parent/carer – review from GP records</w:t>
            </w:r>
          </w:p>
        </w:tc>
        <w:tc>
          <w:tcPr>
            <w:tcW w:w="2693" w:type="dxa"/>
          </w:tcPr>
          <w:p w14:paraId="59E4A63C" w14:textId="78DF37AE" w:rsidR="007B78FD" w:rsidRPr="00EA35E8" w:rsidRDefault="007B78FD" w:rsidP="00771A30">
            <w:pPr>
              <w:jc w:val="center"/>
            </w:pPr>
            <w:r w:rsidRPr="00EA35E8">
              <w:t>£24.36</w:t>
            </w:r>
          </w:p>
        </w:tc>
        <w:tc>
          <w:tcPr>
            <w:tcW w:w="2410" w:type="dxa"/>
          </w:tcPr>
          <w:p w14:paraId="33CA37B2" w14:textId="20474CBC" w:rsidR="007B78FD" w:rsidRPr="00EA35E8" w:rsidRDefault="007B78FD" w:rsidP="00771A30">
            <w:pPr>
              <w:jc w:val="center"/>
            </w:pPr>
            <w:r w:rsidRPr="00EA35E8">
              <w:t>£4.87</w:t>
            </w:r>
          </w:p>
        </w:tc>
        <w:tc>
          <w:tcPr>
            <w:tcW w:w="2693" w:type="dxa"/>
          </w:tcPr>
          <w:p w14:paraId="6FC770B7" w14:textId="2CA4751E" w:rsidR="007B78FD" w:rsidRPr="00EA35E8" w:rsidRDefault="007B78FD" w:rsidP="00771A30">
            <w:pPr>
              <w:jc w:val="center"/>
            </w:pPr>
            <w:r w:rsidRPr="00EA35E8">
              <w:t>£29.23</w:t>
            </w:r>
          </w:p>
        </w:tc>
      </w:tr>
    </w:tbl>
    <w:p w14:paraId="2E5583CD" w14:textId="56F0CDEE" w:rsidR="000A4710" w:rsidRDefault="000A4710"/>
    <w:tbl>
      <w:tblPr>
        <w:tblStyle w:val="TableGrid"/>
        <w:tblW w:w="14884" w:type="dxa"/>
        <w:tblInd w:w="-572" w:type="dxa"/>
        <w:tblLook w:val="04A0" w:firstRow="1" w:lastRow="0" w:firstColumn="1" w:lastColumn="0" w:noHBand="0" w:noVBand="1"/>
      </w:tblPr>
      <w:tblGrid>
        <w:gridCol w:w="5310"/>
        <w:gridCol w:w="1778"/>
        <w:gridCol w:w="2693"/>
        <w:gridCol w:w="2410"/>
        <w:gridCol w:w="2693"/>
      </w:tblGrid>
      <w:tr w:rsidR="00AC42CE" w:rsidRPr="00EA35E8" w14:paraId="23BFEB6E" w14:textId="77777777" w:rsidTr="00AC42CE">
        <w:trPr>
          <w:trHeight w:val="277"/>
        </w:trPr>
        <w:tc>
          <w:tcPr>
            <w:tcW w:w="5310" w:type="dxa"/>
          </w:tcPr>
          <w:p w14:paraId="5DBE63AA" w14:textId="78356FCF" w:rsidR="00AC42CE" w:rsidRPr="00EA35E8" w:rsidRDefault="00AC42CE" w:rsidP="002B5456">
            <w:pPr>
              <w:jc w:val="center"/>
              <w:rPr>
                <w:b/>
                <w:bCs/>
              </w:rPr>
            </w:pPr>
            <w:r>
              <w:rPr>
                <w:b/>
                <w:bCs/>
              </w:rPr>
              <w:t>MILITARY</w:t>
            </w:r>
          </w:p>
        </w:tc>
        <w:tc>
          <w:tcPr>
            <w:tcW w:w="1778" w:type="dxa"/>
          </w:tcPr>
          <w:p w14:paraId="20E66AE6" w14:textId="75D2C6AB" w:rsidR="00AC42CE" w:rsidRPr="00EA35E8" w:rsidRDefault="00AC42CE" w:rsidP="004E464F">
            <w:pPr>
              <w:jc w:val="center"/>
              <w:rPr>
                <w:b/>
                <w:bCs/>
              </w:rPr>
            </w:pPr>
            <w:r>
              <w:rPr>
                <w:b/>
                <w:bCs/>
              </w:rPr>
              <w:t>DUNS #</w:t>
            </w:r>
          </w:p>
        </w:tc>
        <w:tc>
          <w:tcPr>
            <w:tcW w:w="2693" w:type="dxa"/>
          </w:tcPr>
          <w:p w14:paraId="6C025D7A" w14:textId="1C987C54" w:rsidR="00AC42CE" w:rsidRPr="00EA35E8" w:rsidRDefault="00AC42CE" w:rsidP="004E464F">
            <w:pPr>
              <w:jc w:val="center"/>
            </w:pPr>
            <w:r w:rsidRPr="00EA35E8">
              <w:rPr>
                <w:b/>
                <w:bCs/>
              </w:rPr>
              <w:t>STANDARD RATE</w:t>
            </w:r>
          </w:p>
        </w:tc>
        <w:tc>
          <w:tcPr>
            <w:tcW w:w="2410" w:type="dxa"/>
            <w:shd w:val="clear" w:color="auto" w:fill="D9D9D9" w:themeFill="background1" w:themeFillShade="D9"/>
          </w:tcPr>
          <w:p w14:paraId="31C900AA" w14:textId="77777777" w:rsidR="00AC42CE" w:rsidRPr="00EA35E8" w:rsidRDefault="00AC42CE" w:rsidP="004E464F"/>
        </w:tc>
        <w:tc>
          <w:tcPr>
            <w:tcW w:w="2693" w:type="dxa"/>
            <w:shd w:val="clear" w:color="auto" w:fill="D9D9D9" w:themeFill="background1" w:themeFillShade="D9"/>
          </w:tcPr>
          <w:p w14:paraId="072B509A" w14:textId="77777777" w:rsidR="00AC42CE" w:rsidRPr="00EA35E8" w:rsidRDefault="00AC42CE" w:rsidP="004E464F">
            <w:pPr>
              <w:jc w:val="center"/>
            </w:pPr>
          </w:p>
        </w:tc>
      </w:tr>
      <w:tr w:rsidR="00AC42CE" w14:paraId="32397C29" w14:textId="77777777" w:rsidTr="00AC42CE">
        <w:trPr>
          <w:trHeight w:val="261"/>
        </w:trPr>
        <w:tc>
          <w:tcPr>
            <w:tcW w:w="5310" w:type="dxa"/>
          </w:tcPr>
          <w:p w14:paraId="14B79961" w14:textId="19E68983" w:rsidR="00AC42CE" w:rsidRPr="00EA35E8" w:rsidRDefault="00AC42CE" w:rsidP="004E464F">
            <w:r>
              <w:t xml:space="preserve">Military Compensation Report </w:t>
            </w:r>
            <w:r w:rsidR="002B5456">
              <w:t>(MOD -Veterans UK)</w:t>
            </w:r>
          </w:p>
        </w:tc>
        <w:tc>
          <w:tcPr>
            <w:tcW w:w="1778" w:type="dxa"/>
          </w:tcPr>
          <w:p w14:paraId="1A4804A7" w14:textId="05F18338" w:rsidR="00AC42CE" w:rsidRPr="00EA35E8" w:rsidRDefault="00AC42CE" w:rsidP="00AC42CE">
            <w:pPr>
              <w:jc w:val="center"/>
            </w:pPr>
            <w:r>
              <w:t>217656981</w:t>
            </w:r>
          </w:p>
        </w:tc>
        <w:tc>
          <w:tcPr>
            <w:tcW w:w="2693" w:type="dxa"/>
          </w:tcPr>
          <w:p w14:paraId="6283DD7A" w14:textId="1C76F2A9" w:rsidR="00AC42CE" w:rsidRPr="00EA35E8" w:rsidRDefault="00AC42CE" w:rsidP="004E464F">
            <w:pPr>
              <w:jc w:val="center"/>
            </w:pPr>
            <w:r w:rsidRPr="00EA35E8">
              <w:t>£</w:t>
            </w:r>
            <w:r>
              <w:t>39.09</w:t>
            </w:r>
          </w:p>
        </w:tc>
        <w:tc>
          <w:tcPr>
            <w:tcW w:w="2410" w:type="dxa"/>
          </w:tcPr>
          <w:p w14:paraId="77D476D8" w14:textId="27F5D247" w:rsidR="00AC42CE" w:rsidRPr="00C06E6D" w:rsidRDefault="00AC42CE" w:rsidP="004E464F">
            <w:pPr>
              <w:jc w:val="center"/>
            </w:pPr>
            <w:r w:rsidRPr="00C06E6D">
              <w:t>£07.82</w:t>
            </w:r>
          </w:p>
        </w:tc>
        <w:tc>
          <w:tcPr>
            <w:tcW w:w="2693" w:type="dxa"/>
          </w:tcPr>
          <w:p w14:paraId="2CE04165" w14:textId="75935969" w:rsidR="00AC42CE" w:rsidRPr="00C06E6D" w:rsidRDefault="00AC42CE" w:rsidP="004E464F">
            <w:pPr>
              <w:jc w:val="center"/>
            </w:pPr>
            <w:r w:rsidRPr="00C06E6D">
              <w:t>£46.91</w:t>
            </w:r>
          </w:p>
        </w:tc>
      </w:tr>
      <w:tr w:rsidR="002B5456" w14:paraId="3C2FD757" w14:textId="77777777" w:rsidTr="00AC42CE">
        <w:trPr>
          <w:trHeight w:val="261"/>
        </w:trPr>
        <w:tc>
          <w:tcPr>
            <w:tcW w:w="5310" w:type="dxa"/>
          </w:tcPr>
          <w:p w14:paraId="0DB8571C" w14:textId="72789B3C" w:rsidR="002B5456" w:rsidRDefault="002B5456" w:rsidP="002B5456">
            <w:r>
              <w:t>IGPR ARMY Medical Report</w:t>
            </w:r>
          </w:p>
        </w:tc>
        <w:tc>
          <w:tcPr>
            <w:tcW w:w="1778" w:type="dxa"/>
          </w:tcPr>
          <w:p w14:paraId="73F27C73" w14:textId="20237AC5" w:rsidR="002B5456" w:rsidRDefault="002B5456" w:rsidP="002B5456">
            <w:pPr>
              <w:jc w:val="center"/>
            </w:pPr>
            <w:r>
              <w:t>N/A</w:t>
            </w:r>
          </w:p>
        </w:tc>
        <w:tc>
          <w:tcPr>
            <w:tcW w:w="2693" w:type="dxa"/>
          </w:tcPr>
          <w:p w14:paraId="389D3938" w14:textId="5BB4DF1A" w:rsidR="002B5456" w:rsidRPr="00EA35E8" w:rsidRDefault="002B5456" w:rsidP="002B5456">
            <w:pPr>
              <w:jc w:val="center"/>
            </w:pPr>
            <w:r>
              <w:t>£50</w:t>
            </w:r>
          </w:p>
        </w:tc>
        <w:tc>
          <w:tcPr>
            <w:tcW w:w="2410" w:type="dxa"/>
          </w:tcPr>
          <w:p w14:paraId="02A8F37D" w14:textId="62FBA4F2" w:rsidR="002B5456" w:rsidRPr="00C06E6D" w:rsidRDefault="002B5456" w:rsidP="002B5456">
            <w:pPr>
              <w:jc w:val="center"/>
            </w:pPr>
            <w:r>
              <w:t>N/A</w:t>
            </w:r>
          </w:p>
        </w:tc>
        <w:tc>
          <w:tcPr>
            <w:tcW w:w="2693" w:type="dxa"/>
          </w:tcPr>
          <w:p w14:paraId="2691A33B" w14:textId="25B59C71" w:rsidR="002B5456" w:rsidRPr="00C06E6D" w:rsidRDefault="002B5456" w:rsidP="002B5456">
            <w:pPr>
              <w:jc w:val="center"/>
            </w:pPr>
            <w:r>
              <w:t>£50</w:t>
            </w:r>
          </w:p>
        </w:tc>
      </w:tr>
    </w:tbl>
    <w:p w14:paraId="7327ED10" w14:textId="77777777" w:rsidR="00651BB9" w:rsidRPr="00EA35E8" w:rsidRDefault="00651BB9"/>
    <w:tbl>
      <w:tblPr>
        <w:tblStyle w:val="TableGrid"/>
        <w:tblW w:w="14884" w:type="dxa"/>
        <w:tblInd w:w="-572" w:type="dxa"/>
        <w:tblLook w:val="04A0" w:firstRow="1" w:lastRow="0" w:firstColumn="1" w:lastColumn="0" w:noHBand="0" w:noVBand="1"/>
      </w:tblPr>
      <w:tblGrid>
        <w:gridCol w:w="7088"/>
        <w:gridCol w:w="2693"/>
        <w:gridCol w:w="2410"/>
        <w:gridCol w:w="2693"/>
      </w:tblGrid>
      <w:tr w:rsidR="007B78FD" w:rsidRPr="00EA35E8" w14:paraId="461F9261" w14:textId="67A6A6AA" w:rsidTr="007B78FD">
        <w:trPr>
          <w:trHeight w:val="277"/>
        </w:trPr>
        <w:tc>
          <w:tcPr>
            <w:tcW w:w="7088" w:type="dxa"/>
          </w:tcPr>
          <w:p w14:paraId="2A228C78" w14:textId="7D82BFB3" w:rsidR="007B78FD" w:rsidRPr="00EA35E8" w:rsidRDefault="007B78FD" w:rsidP="004449D9">
            <w:pPr>
              <w:jc w:val="center"/>
              <w:rPr>
                <w:b/>
                <w:bCs/>
              </w:rPr>
            </w:pPr>
            <w:r w:rsidRPr="00EA35E8">
              <w:rPr>
                <w:b/>
                <w:bCs/>
              </w:rPr>
              <w:t>DUPLICATE FEE CHARGE – PER COPY</w:t>
            </w:r>
          </w:p>
        </w:tc>
        <w:tc>
          <w:tcPr>
            <w:tcW w:w="2693" w:type="dxa"/>
          </w:tcPr>
          <w:p w14:paraId="0A7396B0" w14:textId="350C294F" w:rsidR="007B78FD" w:rsidRPr="00EA35E8" w:rsidRDefault="007B78FD" w:rsidP="004449D9">
            <w:pPr>
              <w:jc w:val="center"/>
            </w:pPr>
            <w:r w:rsidRPr="00EA35E8">
              <w:rPr>
                <w:b/>
                <w:bCs/>
              </w:rPr>
              <w:t>STANDARD RATE</w:t>
            </w:r>
          </w:p>
        </w:tc>
        <w:tc>
          <w:tcPr>
            <w:tcW w:w="2410" w:type="dxa"/>
            <w:shd w:val="clear" w:color="auto" w:fill="D9D9D9" w:themeFill="background1" w:themeFillShade="D9"/>
          </w:tcPr>
          <w:p w14:paraId="0F688F2B" w14:textId="593952C9" w:rsidR="007B78FD" w:rsidRPr="00EA35E8" w:rsidRDefault="007B78FD" w:rsidP="00390F13"/>
        </w:tc>
        <w:tc>
          <w:tcPr>
            <w:tcW w:w="2693" w:type="dxa"/>
            <w:shd w:val="clear" w:color="auto" w:fill="D9D9D9" w:themeFill="background1" w:themeFillShade="D9"/>
          </w:tcPr>
          <w:p w14:paraId="3949250F" w14:textId="7AF710E8" w:rsidR="007B78FD" w:rsidRPr="00EA35E8" w:rsidRDefault="007B78FD" w:rsidP="004449D9">
            <w:pPr>
              <w:jc w:val="center"/>
            </w:pPr>
          </w:p>
        </w:tc>
      </w:tr>
      <w:tr w:rsidR="007B78FD" w14:paraId="458D8D68" w14:textId="6DD0B05A" w:rsidTr="007B78FD">
        <w:trPr>
          <w:trHeight w:val="261"/>
        </w:trPr>
        <w:tc>
          <w:tcPr>
            <w:tcW w:w="7088" w:type="dxa"/>
          </w:tcPr>
          <w:p w14:paraId="443F7C96" w14:textId="2F62498F" w:rsidR="007B78FD" w:rsidRPr="00EA35E8" w:rsidRDefault="007B78FD" w:rsidP="004449D9">
            <w:r w:rsidRPr="00EA35E8">
              <w:t xml:space="preserve">Duplicate copy - of document/report/SAR </w:t>
            </w:r>
          </w:p>
        </w:tc>
        <w:tc>
          <w:tcPr>
            <w:tcW w:w="2693" w:type="dxa"/>
          </w:tcPr>
          <w:p w14:paraId="529B6F2B" w14:textId="5026171E" w:rsidR="007B78FD" w:rsidRPr="00EA35E8" w:rsidRDefault="007B78FD" w:rsidP="004449D9">
            <w:pPr>
              <w:jc w:val="center"/>
            </w:pPr>
            <w:r w:rsidRPr="00EA35E8">
              <w:t>£10.00</w:t>
            </w:r>
          </w:p>
        </w:tc>
        <w:tc>
          <w:tcPr>
            <w:tcW w:w="2410" w:type="dxa"/>
          </w:tcPr>
          <w:p w14:paraId="300494F2" w14:textId="633586D3" w:rsidR="007B78FD" w:rsidRPr="00EA35E8" w:rsidRDefault="007B78FD" w:rsidP="00A84F8A">
            <w:pPr>
              <w:jc w:val="center"/>
            </w:pPr>
            <w:r w:rsidRPr="00EA35E8">
              <w:t>N/A</w:t>
            </w:r>
          </w:p>
        </w:tc>
        <w:tc>
          <w:tcPr>
            <w:tcW w:w="2693" w:type="dxa"/>
          </w:tcPr>
          <w:p w14:paraId="3AD2D6F7" w14:textId="32C5DAEB" w:rsidR="007B78FD" w:rsidRDefault="007B78FD" w:rsidP="004449D9">
            <w:pPr>
              <w:jc w:val="center"/>
            </w:pPr>
            <w:r w:rsidRPr="00EA35E8">
              <w:t>£10.00</w:t>
            </w:r>
          </w:p>
        </w:tc>
      </w:tr>
    </w:tbl>
    <w:p w14:paraId="4977499E" w14:textId="5EFE5A48" w:rsidR="004449D9" w:rsidRDefault="004449D9"/>
    <w:tbl>
      <w:tblPr>
        <w:tblStyle w:val="TableGrid"/>
        <w:tblW w:w="14884" w:type="dxa"/>
        <w:tblInd w:w="-572" w:type="dxa"/>
        <w:tblLook w:val="04A0" w:firstRow="1" w:lastRow="0" w:firstColumn="1" w:lastColumn="0" w:noHBand="0" w:noVBand="1"/>
      </w:tblPr>
      <w:tblGrid>
        <w:gridCol w:w="14884"/>
      </w:tblGrid>
      <w:tr w:rsidR="00EA35E8" w14:paraId="1B46057F" w14:textId="1CC11A3E" w:rsidTr="00EA35E8">
        <w:tc>
          <w:tcPr>
            <w:tcW w:w="14884" w:type="dxa"/>
          </w:tcPr>
          <w:p w14:paraId="11198668" w14:textId="2E166194" w:rsidR="00EA35E8" w:rsidRDefault="00EA35E8" w:rsidP="00771A30">
            <w:pPr>
              <w:jc w:val="center"/>
            </w:pPr>
            <w:r>
              <w:t>WHAT GP’S DO NOT PROVIDE</w:t>
            </w:r>
          </w:p>
        </w:tc>
      </w:tr>
      <w:tr w:rsidR="00EA35E8" w14:paraId="2F8E91B1" w14:textId="3FE3C94B" w:rsidTr="00EA35E8">
        <w:tc>
          <w:tcPr>
            <w:tcW w:w="14884" w:type="dxa"/>
          </w:tcPr>
          <w:p w14:paraId="5DC0266A" w14:textId="3CDE5BBD" w:rsidR="00EA35E8" w:rsidRDefault="00EA35E8" w:rsidP="00541DD1">
            <w:pPr>
              <w:jc w:val="center"/>
            </w:pPr>
            <w:r w:rsidRPr="00541DD1">
              <w:rPr>
                <w:sz w:val="18"/>
                <w:szCs w:val="18"/>
              </w:rPr>
              <w:t xml:space="preserve">Pilots licensing medicals    </w:t>
            </w:r>
            <w:r w:rsidR="00651BB9" w:rsidRPr="00541DD1">
              <w:rPr>
                <w:sz w:val="18"/>
                <w:szCs w:val="18"/>
              </w:rPr>
              <w:t xml:space="preserve">Taxi, D2, D4, HGV medicals    Private blood tests or </w:t>
            </w:r>
            <w:r w:rsidR="0038624C" w:rsidRPr="00541DD1">
              <w:rPr>
                <w:sz w:val="18"/>
                <w:szCs w:val="18"/>
              </w:rPr>
              <w:t>prescriptions</w:t>
            </w:r>
            <w:r w:rsidR="00651BB9" w:rsidRPr="00541DD1">
              <w:rPr>
                <w:sz w:val="18"/>
                <w:szCs w:val="18"/>
              </w:rPr>
              <w:t xml:space="preserve">    Signatures for Bus/Passports      Blue badge – pt to apply via gov.uk  </w:t>
            </w:r>
            <w:r w:rsidR="00541DD1" w:rsidRPr="00541DD1">
              <w:rPr>
                <w:sz w:val="18"/>
                <w:szCs w:val="18"/>
              </w:rPr>
              <w:t xml:space="preserve">  </w:t>
            </w:r>
            <w:r w:rsidR="00651BB9" w:rsidRPr="00541DD1">
              <w:rPr>
                <w:sz w:val="18"/>
                <w:szCs w:val="18"/>
              </w:rPr>
              <w:t>Excessive information requests</w:t>
            </w:r>
          </w:p>
        </w:tc>
      </w:tr>
    </w:tbl>
    <w:p w14:paraId="2F55D29D" w14:textId="77777777" w:rsidR="00134ADE" w:rsidRDefault="00134ADE" w:rsidP="00F90E0A">
      <w:pPr>
        <w:rPr>
          <w:sz w:val="14"/>
          <w:szCs w:val="14"/>
        </w:rPr>
      </w:pPr>
    </w:p>
    <w:p w14:paraId="361A3364" w14:textId="47BA1BC8" w:rsidR="00134ADE" w:rsidRDefault="00134ADE" w:rsidP="007B78FD">
      <w:pPr>
        <w:pBdr>
          <w:bottom w:val="single" w:sz="6" w:space="6" w:color="auto"/>
        </w:pBdr>
        <w:rPr>
          <w:b/>
          <w:bCs/>
          <w:u w:val="single"/>
        </w:rPr>
      </w:pPr>
    </w:p>
    <w:p w14:paraId="49C8A205" w14:textId="30B24DAC" w:rsidR="007B78FD" w:rsidRPr="00EA35E8" w:rsidRDefault="007B78FD" w:rsidP="00EA35E8">
      <w:pPr>
        <w:pBdr>
          <w:bottom w:val="single" w:sz="6" w:space="6" w:color="auto"/>
        </w:pBdr>
        <w:jc w:val="center"/>
        <w:rPr>
          <w:b/>
          <w:bCs/>
          <w:sz w:val="28"/>
          <w:szCs w:val="28"/>
          <w:u w:val="single"/>
        </w:rPr>
      </w:pPr>
      <w:r w:rsidRPr="00EA35E8">
        <w:rPr>
          <w:b/>
          <w:bCs/>
          <w:sz w:val="28"/>
          <w:szCs w:val="28"/>
          <w:u w:val="single"/>
        </w:rPr>
        <w:t>Practice Policy   -  Requesting SARs:</w:t>
      </w:r>
    </w:p>
    <w:p w14:paraId="1CEA5BBB" w14:textId="65CDD4C5" w:rsidR="007B78FD" w:rsidRDefault="007B78FD" w:rsidP="007B78FD">
      <w:pPr>
        <w:pBdr>
          <w:bottom w:val="single" w:sz="6" w:space="6" w:color="auto"/>
        </w:pBdr>
        <w:rPr>
          <w:b/>
          <w:bCs/>
          <w:u w:val="single"/>
        </w:rPr>
      </w:pPr>
    </w:p>
    <w:p w14:paraId="19A656C0" w14:textId="36670DC2" w:rsidR="007B78FD" w:rsidRDefault="007B78FD" w:rsidP="007B78FD">
      <w:pPr>
        <w:pBdr>
          <w:bottom w:val="single" w:sz="6" w:space="6" w:color="auto"/>
        </w:pBdr>
        <w:rPr>
          <w:b/>
          <w:bCs/>
        </w:rPr>
      </w:pPr>
      <w:r w:rsidRPr="007B78FD">
        <w:rPr>
          <w:b/>
          <w:bCs/>
        </w:rPr>
        <w:t>We have noticed a large increase i</w:t>
      </w:r>
      <w:r>
        <w:rPr>
          <w:b/>
          <w:bCs/>
        </w:rPr>
        <w:t>n</w:t>
      </w:r>
      <w:r w:rsidRPr="007B78FD">
        <w:rPr>
          <w:b/>
          <w:bCs/>
        </w:rPr>
        <w:t xml:space="preserve"> SAR requests</w:t>
      </w:r>
      <w:r w:rsidR="0038624C">
        <w:rPr>
          <w:b/>
          <w:bCs/>
        </w:rPr>
        <w:t>;</w:t>
      </w:r>
      <w:r>
        <w:rPr>
          <w:b/>
          <w:bCs/>
        </w:rPr>
        <w:t xml:space="preserve"> p</w:t>
      </w:r>
      <w:r w:rsidRPr="007B78FD">
        <w:rPr>
          <w:b/>
          <w:bCs/>
        </w:rPr>
        <w:t>lease</w:t>
      </w:r>
      <w:r>
        <w:rPr>
          <w:b/>
          <w:bCs/>
        </w:rPr>
        <w:t xml:space="preserve"> note that you are able to view your medical records electronically via the NHS App or SystmOnline. If you are not set up for any of these </w:t>
      </w:r>
      <w:r w:rsidR="00227B0B">
        <w:rPr>
          <w:b/>
          <w:bCs/>
        </w:rPr>
        <w:t>services,</w:t>
      </w:r>
      <w:r>
        <w:rPr>
          <w:b/>
          <w:bCs/>
        </w:rPr>
        <w:t xml:space="preserve"> you can sign up via the NHS website or collect a</w:t>
      </w:r>
      <w:r w:rsidR="00227B0B">
        <w:rPr>
          <w:b/>
          <w:bCs/>
        </w:rPr>
        <w:t>n</w:t>
      </w:r>
      <w:r>
        <w:rPr>
          <w:b/>
          <w:bCs/>
        </w:rPr>
        <w:t xml:space="preserve"> online access form from the surgery.  </w:t>
      </w:r>
    </w:p>
    <w:p w14:paraId="6AA249D7" w14:textId="77777777" w:rsidR="007B78FD" w:rsidRDefault="007B78FD" w:rsidP="007B78FD">
      <w:pPr>
        <w:pBdr>
          <w:bottom w:val="single" w:sz="6" w:space="6" w:color="auto"/>
        </w:pBdr>
        <w:rPr>
          <w:b/>
          <w:bCs/>
        </w:rPr>
      </w:pPr>
    </w:p>
    <w:p w14:paraId="0DBCC9AA" w14:textId="3951533B" w:rsidR="007B78FD" w:rsidRDefault="007B78FD" w:rsidP="007B78FD">
      <w:pPr>
        <w:pBdr>
          <w:bottom w:val="single" w:sz="6" w:space="6" w:color="auto"/>
        </w:pBdr>
        <w:rPr>
          <w:b/>
          <w:bCs/>
        </w:rPr>
      </w:pPr>
      <w:r>
        <w:rPr>
          <w:b/>
          <w:bCs/>
        </w:rPr>
        <w:t>If you still wish to proceed:</w:t>
      </w:r>
    </w:p>
    <w:p w14:paraId="7FF2D978" w14:textId="59B48FAB" w:rsidR="007B78FD" w:rsidRPr="00227B0B" w:rsidRDefault="008C5F87" w:rsidP="007B78FD">
      <w:pPr>
        <w:pBdr>
          <w:bottom w:val="single" w:sz="6" w:space="6" w:color="auto"/>
        </w:pBdr>
      </w:pPr>
      <w:r w:rsidRPr="00227B0B">
        <w:t>We will provide</w:t>
      </w:r>
      <w:r w:rsidR="002F7B23">
        <w:t xml:space="preserve"> you with</w:t>
      </w:r>
      <w:r w:rsidRPr="00227B0B">
        <w:t xml:space="preserve"> the appropriate amount of information </w:t>
      </w:r>
      <w:r w:rsidR="00227B0B" w:rsidRPr="00227B0B">
        <w:t>for</w:t>
      </w:r>
      <w:r w:rsidRPr="00227B0B">
        <w:t xml:space="preserve"> to your individual request</w:t>
      </w:r>
      <w:r w:rsidR="00227B0B" w:rsidRPr="00227B0B">
        <w:t xml:space="preserve">  (minimum you require to prevent excessive  requests)</w:t>
      </w:r>
    </w:p>
    <w:p w14:paraId="528C3835" w14:textId="7EF457DE" w:rsidR="007B78FD" w:rsidRPr="008C5F87" w:rsidRDefault="007B78FD" w:rsidP="007B78FD">
      <w:pPr>
        <w:pBdr>
          <w:bottom w:val="single" w:sz="6" w:space="6" w:color="auto"/>
        </w:pBdr>
      </w:pPr>
      <w:r w:rsidRPr="008C5F87">
        <w:t>Allow 30 days+ for these requests to be processed</w:t>
      </w:r>
    </w:p>
    <w:p w14:paraId="5C5BBD69" w14:textId="4AF29E2E" w:rsidR="007B78FD" w:rsidRPr="008C5F87" w:rsidRDefault="007B78FD" w:rsidP="007B78FD">
      <w:pPr>
        <w:pBdr>
          <w:bottom w:val="single" w:sz="6" w:space="6" w:color="auto"/>
        </w:pBdr>
      </w:pPr>
      <w:r w:rsidRPr="008C5F87">
        <w:t xml:space="preserve">Provide a full history of the information you are requesting and the intended purpose so we can best support you </w:t>
      </w:r>
    </w:p>
    <w:p w14:paraId="1BCB0579" w14:textId="6ECB6E00" w:rsidR="007B78FD" w:rsidRPr="008C5F87" w:rsidRDefault="0038624C" w:rsidP="007B78FD">
      <w:pPr>
        <w:pBdr>
          <w:bottom w:val="single" w:sz="6" w:space="6" w:color="auto"/>
        </w:pBdr>
      </w:pPr>
      <w:r>
        <w:t xml:space="preserve">Be mindful </w:t>
      </w:r>
      <w:r w:rsidR="007B78FD" w:rsidRPr="008C5F87">
        <w:t xml:space="preserve">of the time it takes </w:t>
      </w:r>
      <w:r>
        <w:t>to prepare</w:t>
      </w:r>
      <w:r w:rsidR="007B78FD" w:rsidRPr="008C5F87">
        <w:t xml:space="preserve"> the SAR as a member of the Team needs to</w:t>
      </w:r>
      <w:r>
        <w:t xml:space="preserve"> carefully</w:t>
      </w:r>
      <w:r w:rsidR="007B78FD" w:rsidRPr="008C5F87">
        <w:t xml:space="preserve"> </w:t>
      </w:r>
      <w:r>
        <w:t xml:space="preserve">review the information before release </w:t>
      </w:r>
    </w:p>
    <w:p w14:paraId="2D13ACD8" w14:textId="77777777" w:rsidR="007B78FD" w:rsidRDefault="007B78FD" w:rsidP="007B78FD">
      <w:pPr>
        <w:pBdr>
          <w:bottom w:val="single" w:sz="6" w:space="6" w:color="auto"/>
        </w:pBdr>
        <w:rPr>
          <w:b/>
          <w:bCs/>
        </w:rPr>
      </w:pPr>
    </w:p>
    <w:p w14:paraId="01BCDB60" w14:textId="77777777" w:rsidR="008C5F87" w:rsidRDefault="008C5F87" w:rsidP="007B78FD">
      <w:pPr>
        <w:pBdr>
          <w:bottom w:val="single" w:sz="6" w:space="6" w:color="auto"/>
        </w:pBdr>
        <w:rPr>
          <w:b/>
          <w:bCs/>
        </w:rPr>
      </w:pPr>
      <w:r>
        <w:rPr>
          <w:b/>
          <w:bCs/>
        </w:rPr>
        <w:t>What can I do to help?</w:t>
      </w:r>
    </w:p>
    <w:p w14:paraId="2718774C" w14:textId="63A7E898" w:rsidR="008C5F87" w:rsidRPr="008C5F87" w:rsidRDefault="008C5F87" w:rsidP="007B78FD">
      <w:pPr>
        <w:pBdr>
          <w:bottom w:val="single" w:sz="6" w:space="6" w:color="auto"/>
        </w:pBdr>
      </w:pPr>
      <w:r w:rsidRPr="008C5F87">
        <w:t xml:space="preserve">Please obtain your medical records online where possible </w:t>
      </w:r>
    </w:p>
    <w:p w14:paraId="13F14925" w14:textId="486F448A" w:rsidR="008C5F87" w:rsidRDefault="008C5F87" w:rsidP="007B78FD">
      <w:pPr>
        <w:pBdr>
          <w:bottom w:val="single" w:sz="6" w:space="6" w:color="auto"/>
        </w:pBdr>
      </w:pPr>
      <w:r w:rsidRPr="008C5F87">
        <w:t>There is a 30+ day processing time so please allow enough time for this</w:t>
      </w:r>
    </w:p>
    <w:p w14:paraId="6FA53F0B" w14:textId="40E56DF8" w:rsidR="00AB45ED" w:rsidRPr="008C5F87" w:rsidRDefault="00AB45ED" w:rsidP="007B78FD">
      <w:pPr>
        <w:pBdr>
          <w:bottom w:val="single" w:sz="6" w:space="6" w:color="auto"/>
        </w:pBdr>
      </w:pPr>
      <w:r w:rsidRPr="008C5F87">
        <w:t xml:space="preserve">Chasing reports before the 30 day processing time is unnecessary, we will be in touch when it is completed </w:t>
      </w:r>
    </w:p>
    <w:p w14:paraId="46F0734F" w14:textId="4E7E652E" w:rsidR="008C5F87" w:rsidRPr="008C5F87" w:rsidRDefault="008C5F87" w:rsidP="007B78FD">
      <w:pPr>
        <w:pBdr>
          <w:bottom w:val="single" w:sz="6" w:space="6" w:color="auto"/>
        </w:pBdr>
      </w:pPr>
      <w:r w:rsidRPr="008C5F87">
        <w:t>Make sure that</w:t>
      </w:r>
      <w:r>
        <w:t xml:space="preserve"> you have provided sufficient information about your request and that</w:t>
      </w:r>
      <w:r w:rsidRPr="008C5F87">
        <w:t xml:space="preserve"> all patient parts are completed </w:t>
      </w:r>
      <w:r w:rsidRPr="008C5F87">
        <w:rPr>
          <w:i/>
          <w:iCs/>
          <w:sz w:val="18"/>
          <w:szCs w:val="18"/>
        </w:rPr>
        <w:t>e.g. signed consent forms where applicable</w:t>
      </w:r>
      <w:r w:rsidRPr="008C5F87">
        <w:rPr>
          <w:sz w:val="18"/>
          <w:szCs w:val="18"/>
        </w:rPr>
        <w:t xml:space="preserve"> </w:t>
      </w:r>
    </w:p>
    <w:p w14:paraId="081CA28C" w14:textId="122BCA35" w:rsidR="008C5F87" w:rsidRPr="008C5F87" w:rsidRDefault="008C5F87" w:rsidP="008C5F87">
      <w:pPr>
        <w:pBdr>
          <w:bottom w:val="single" w:sz="6" w:space="6" w:color="auto"/>
        </w:pBdr>
      </w:pPr>
      <w:r w:rsidRPr="008C5F87">
        <w:t>Be mindful that requesting excessive information only increases the time it takes to prepare the records</w:t>
      </w:r>
      <w:r w:rsidR="00D95F22">
        <w:t xml:space="preserve"> and may be denied</w:t>
      </w:r>
    </w:p>
    <w:p w14:paraId="410278F2" w14:textId="1DF0952F" w:rsidR="008C5F87" w:rsidRDefault="008C5F87" w:rsidP="008C5F87">
      <w:pPr>
        <w:pBdr>
          <w:bottom w:val="single" w:sz="6" w:space="6" w:color="auto"/>
        </w:pBdr>
      </w:pPr>
      <w:r>
        <w:t>E</w:t>
      </w:r>
      <w:r w:rsidRPr="008C5F87">
        <w:t>nsure we have your up-to-date contact details in case we need to confirm any details with you</w:t>
      </w:r>
    </w:p>
    <w:p w14:paraId="3197DCC7" w14:textId="69C6DC67" w:rsidR="00B61CEE" w:rsidRPr="008C5F87" w:rsidRDefault="00B61CEE" w:rsidP="008C5F87">
      <w:pPr>
        <w:pBdr>
          <w:bottom w:val="single" w:sz="6" w:space="6" w:color="auto"/>
        </w:pBdr>
      </w:pPr>
      <w:r>
        <w:t>Ensure you have the appropriate consent if you are requesting on behalf of a patient</w:t>
      </w:r>
    </w:p>
    <w:p w14:paraId="6C0AB59F" w14:textId="77777777" w:rsidR="008C5F87" w:rsidRDefault="008C5F87" w:rsidP="007B78FD">
      <w:pPr>
        <w:pBdr>
          <w:bottom w:val="single" w:sz="6" w:space="6" w:color="auto"/>
        </w:pBdr>
        <w:rPr>
          <w:b/>
          <w:bCs/>
        </w:rPr>
      </w:pPr>
    </w:p>
    <w:p w14:paraId="6C5F3F75" w14:textId="5B2B91BB" w:rsidR="007B78FD" w:rsidRDefault="007B78FD" w:rsidP="007B78FD">
      <w:pPr>
        <w:pBdr>
          <w:bottom w:val="single" w:sz="6" w:space="6" w:color="auto"/>
        </w:pBdr>
        <w:rPr>
          <w:b/>
          <w:bCs/>
        </w:rPr>
      </w:pPr>
      <w:r>
        <w:rPr>
          <w:b/>
          <w:bCs/>
        </w:rPr>
        <w:t xml:space="preserve">If you are requesting information </w:t>
      </w:r>
      <w:r w:rsidR="008C5F87">
        <w:rPr>
          <w:b/>
          <w:bCs/>
        </w:rPr>
        <w:t xml:space="preserve">for a </w:t>
      </w:r>
      <w:r>
        <w:rPr>
          <w:b/>
          <w:bCs/>
        </w:rPr>
        <w:t>PIP</w:t>
      </w:r>
      <w:r w:rsidR="008C5F87">
        <w:rPr>
          <w:b/>
          <w:bCs/>
        </w:rPr>
        <w:t xml:space="preserve"> application</w:t>
      </w:r>
      <w:r>
        <w:rPr>
          <w:b/>
          <w:bCs/>
        </w:rPr>
        <w:t>:</w:t>
      </w:r>
    </w:p>
    <w:p w14:paraId="1BC8FBF8" w14:textId="77777777" w:rsidR="007B78FD" w:rsidRPr="008C5F87" w:rsidRDefault="007B78FD" w:rsidP="007B78FD">
      <w:pPr>
        <w:pBdr>
          <w:bottom w:val="single" w:sz="6" w:space="6" w:color="auto"/>
        </w:pBdr>
      </w:pPr>
      <w:r w:rsidRPr="008C5F87">
        <w:t xml:space="preserve">We can provide you with a patient summary, and relevant clinic letter/s if appropriate. This should be enough to support your application. </w:t>
      </w:r>
    </w:p>
    <w:p w14:paraId="6A9D4E45" w14:textId="3C441AE8" w:rsidR="007B78FD" w:rsidRPr="008C5F87" w:rsidRDefault="007B78FD" w:rsidP="007B78FD">
      <w:pPr>
        <w:pBdr>
          <w:bottom w:val="single" w:sz="6" w:space="6" w:color="auto"/>
        </w:pBdr>
      </w:pPr>
      <w:r w:rsidRPr="008C5F87">
        <w:t>They do</w:t>
      </w:r>
      <w:r w:rsidRPr="008C5F87">
        <w:rPr>
          <w:b/>
          <w:bCs/>
        </w:rPr>
        <w:t xml:space="preserve"> NOT</w:t>
      </w:r>
      <w:r w:rsidRPr="008C5F87">
        <w:t xml:space="preserve"> require your full medical records. Once submitted PIP will write to us directly if they require any further information. </w:t>
      </w:r>
    </w:p>
    <w:p w14:paraId="6ED247EE" w14:textId="371B3AF2" w:rsidR="007B78FD" w:rsidRPr="008C5F87" w:rsidRDefault="007B78FD" w:rsidP="007B78FD">
      <w:pPr>
        <w:pBdr>
          <w:bottom w:val="single" w:sz="6" w:space="6" w:color="auto"/>
        </w:pBdr>
      </w:pPr>
      <w:r w:rsidRPr="008C5F87">
        <w:t xml:space="preserve">If the above information has been provided, but they still insist on a GP letter, there will be the usual TWIMC fee of £31.50 </w:t>
      </w:r>
    </w:p>
    <w:p w14:paraId="322534B4" w14:textId="58639F2D" w:rsidR="007B78FD" w:rsidRDefault="007B78FD" w:rsidP="007B78FD">
      <w:pPr>
        <w:pBdr>
          <w:bottom w:val="single" w:sz="6" w:space="6" w:color="auto"/>
        </w:pBdr>
        <w:rPr>
          <w:b/>
          <w:bCs/>
        </w:rPr>
      </w:pPr>
    </w:p>
    <w:p w14:paraId="00DE6DA0" w14:textId="095EE926" w:rsidR="007B78FD" w:rsidRDefault="007B78FD" w:rsidP="007B78FD">
      <w:pPr>
        <w:pBdr>
          <w:bottom w:val="single" w:sz="6" w:space="6" w:color="auto"/>
        </w:pBdr>
        <w:rPr>
          <w:b/>
          <w:bCs/>
        </w:rPr>
      </w:pPr>
      <w:r>
        <w:rPr>
          <w:b/>
          <w:bCs/>
        </w:rPr>
        <w:t>If you have access to your medical records, but do not have access to a printer there are some available options:</w:t>
      </w:r>
    </w:p>
    <w:p w14:paraId="192315BF" w14:textId="75E59BD4" w:rsidR="007B78FD" w:rsidRDefault="007B78FD" w:rsidP="007B78FD">
      <w:pPr>
        <w:pBdr>
          <w:bottom w:val="single" w:sz="6" w:space="6" w:color="auto"/>
        </w:pBdr>
      </w:pPr>
      <w:r w:rsidRPr="008C5F87">
        <w:t xml:space="preserve">You can go to your local library </w:t>
      </w:r>
    </w:p>
    <w:p w14:paraId="3306C5A6" w14:textId="712504C2" w:rsidR="00957CA4" w:rsidRPr="008C5F87" w:rsidRDefault="00957CA4" w:rsidP="007B78FD">
      <w:pPr>
        <w:pBdr>
          <w:bottom w:val="single" w:sz="6" w:space="6" w:color="auto"/>
        </w:pBdr>
      </w:pPr>
      <w:r>
        <w:t>Ask a family member for help</w:t>
      </w:r>
    </w:p>
    <w:p w14:paraId="40600146" w14:textId="6FAAE0DB" w:rsidR="007B78FD" w:rsidRPr="008C5F87" w:rsidRDefault="00E4010F" w:rsidP="007B78FD">
      <w:pPr>
        <w:pBdr>
          <w:bottom w:val="single" w:sz="6" w:space="6" w:color="auto"/>
        </w:pBdr>
      </w:pPr>
      <w:r>
        <w:t xml:space="preserve">Use </w:t>
      </w:r>
      <w:r w:rsidR="000B00FC">
        <w:t xml:space="preserve">encrypted </w:t>
      </w:r>
      <w:r>
        <w:t>e</w:t>
      </w:r>
      <w:r w:rsidR="007B78FD" w:rsidRPr="008C5F87">
        <w:t>mail</w:t>
      </w:r>
      <w:r>
        <w:t xml:space="preserve">, </w:t>
      </w:r>
      <w:r w:rsidR="007B78FD" w:rsidRPr="008C5F87">
        <w:t>rather than post</w:t>
      </w:r>
    </w:p>
    <w:p w14:paraId="0F6AB824" w14:textId="77777777" w:rsidR="007B78FD" w:rsidRDefault="007B78FD" w:rsidP="007B78FD">
      <w:pPr>
        <w:pBdr>
          <w:bottom w:val="single" w:sz="6" w:space="6" w:color="auto"/>
        </w:pBdr>
        <w:rPr>
          <w:b/>
          <w:bCs/>
        </w:rPr>
      </w:pPr>
    </w:p>
    <w:p w14:paraId="3EC854EB" w14:textId="1BB4FABD" w:rsidR="007B78FD" w:rsidRDefault="007B78FD" w:rsidP="00B41E01">
      <w:pPr>
        <w:pBdr>
          <w:bottom w:val="single" w:sz="6" w:space="6" w:color="auto"/>
        </w:pBdr>
        <w:jc w:val="center"/>
        <w:rPr>
          <w:b/>
          <w:bCs/>
        </w:rPr>
      </w:pPr>
      <w:r>
        <w:rPr>
          <w:b/>
          <w:bCs/>
        </w:rPr>
        <w:t xml:space="preserve">If you require another copy </w:t>
      </w:r>
      <w:r w:rsidR="00B41E01">
        <w:rPr>
          <w:b/>
          <w:bCs/>
        </w:rPr>
        <w:t xml:space="preserve">of </w:t>
      </w:r>
      <w:r>
        <w:rPr>
          <w:b/>
          <w:bCs/>
        </w:rPr>
        <w:t>the S</w:t>
      </w:r>
      <w:r w:rsidR="008C5F87">
        <w:rPr>
          <w:b/>
          <w:bCs/>
        </w:rPr>
        <w:t>AR</w:t>
      </w:r>
      <w:r>
        <w:rPr>
          <w:b/>
          <w:bCs/>
        </w:rPr>
        <w:t xml:space="preserve"> prepared – please note there is a </w:t>
      </w:r>
      <w:r w:rsidRPr="004449D9">
        <w:rPr>
          <w:b/>
          <w:bCs/>
        </w:rPr>
        <w:t xml:space="preserve">DUPLICATE FEE CHARGE </w:t>
      </w:r>
      <w:r>
        <w:rPr>
          <w:b/>
          <w:bCs/>
        </w:rPr>
        <w:t>– £10 PER COPY</w:t>
      </w:r>
    </w:p>
    <w:p w14:paraId="23D5ED67" w14:textId="2A878CF7" w:rsidR="008C5F87" w:rsidRDefault="008C5F87" w:rsidP="007B78FD">
      <w:pPr>
        <w:pBdr>
          <w:bottom w:val="single" w:sz="6" w:space="6" w:color="auto"/>
        </w:pBdr>
        <w:rPr>
          <w:b/>
          <w:bCs/>
        </w:rPr>
      </w:pPr>
    </w:p>
    <w:p w14:paraId="2D37B021" w14:textId="4C6CB801" w:rsidR="00227B0B" w:rsidRDefault="00227B0B" w:rsidP="007B78FD">
      <w:pPr>
        <w:pBdr>
          <w:bottom w:val="single" w:sz="6" w:space="6" w:color="auto"/>
        </w:pBdr>
        <w:rPr>
          <w:b/>
          <w:bCs/>
        </w:rPr>
      </w:pPr>
    </w:p>
    <w:p w14:paraId="5E928C67" w14:textId="0D20AC58" w:rsidR="00227B0B" w:rsidRDefault="00227B0B" w:rsidP="007B78FD">
      <w:pPr>
        <w:pBdr>
          <w:bottom w:val="single" w:sz="6" w:space="6" w:color="auto"/>
        </w:pBdr>
        <w:rPr>
          <w:b/>
          <w:bCs/>
        </w:rPr>
      </w:pPr>
    </w:p>
    <w:p w14:paraId="085AC6BF" w14:textId="1D873746" w:rsidR="008C5F87" w:rsidRDefault="008C5F87" w:rsidP="007B78FD">
      <w:pPr>
        <w:pBdr>
          <w:bottom w:val="single" w:sz="6" w:space="6" w:color="auto"/>
        </w:pBdr>
        <w:rPr>
          <w:b/>
          <w:bCs/>
        </w:rPr>
      </w:pPr>
    </w:p>
    <w:p w14:paraId="4A42F966" w14:textId="77777777" w:rsidR="008C5F87" w:rsidRDefault="008C5F87" w:rsidP="008C5F87">
      <w:pPr>
        <w:pStyle w:val="NormalWeb"/>
        <w:shd w:val="clear" w:color="auto" w:fill="FFFFFF"/>
        <w:spacing w:before="0" w:beforeAutospacing="0" w:after="0" w:afterAutospacing="0"/>
        <w:rPr>
          <w:rStyle w:val="Strong"/>
          <w:rFonts w:ascii="Lato" w:hAnsi="Lato"/>
          <w:shd w:val="clear" w:color="auto" w:fill="FFFFFF"/>
        </w:rPr>
      </w:pPr>
    </w:p>
    <w:p w14:paraId="2C1F985C" w14:textId="77777777" w:rsidR="008C5F87" w:rsidRDefault="008C5F87" w:rsidP="008C5F87">
      <w:pPr>
        <w:pStyle w:val="NormalWeb"/>
        <w:shd w:val="clear" w:color="auto" w:fill="FFFFFF"/>
        <w:spacing w:before="0" w:beforeAutospacing="0" w:after="0" w:afterAutospacing="0"/>
        <w:rPr>
          <w:rStyle w:val="Strong"/>
          <w:rFonts w:ascii="Lato" w:hAnsi="Lato"/>
          <w:shd w:val="clear" w:color="auto" w:fill="FFFFFF"/>
        </w:rPr>
      </w:pPr>
    </w:p>
    <w:p w14:paraId="6C3BE764" w14:textId="553709AC" w:rsidR="008C5F87" w:rsidRPr="00227B0B" w:rsidRDefault="0038624C" w:rsidP="008C5F87">
      <w:pPr>
        <w:pStyle w:val="NormalWeb"/>
        <w:shd w:val="clear" w:color="auto" w:fill="FFFFFF"/>
        <w:spacing w:before="0" w:beforeAutospacing="0" w:after="0" w:afterAutospacing="0"/>
        <w:jc w:val="center"/>
        <w:rPr>
          <w:rStyle w:val="Strong"/>
          <w:rFonts w:asciiTheme="minorHAnsi" w:hAnsiTheme="minorHAnsi" w:cstheme="minorHAnsi"/>
          <w:sz w:val="28"/>
          <w:szCs w:val="28"/>
          <w:u w:val="single"/>
          <w:shd w:val="clear" w:color="auto" w:fill="FFFFFF"/>
        </w:rPr>
      </w:pPr>
      <w:r w:rsidRPr="00227B0B">
        <w:rPr>
          <w:rStyle w:val="Strong"/>
          <w:rFonts w:asciiTheme="minorHAnsi" w:hAnsiTheme="minorHAnsi" w:cstheme="minorHAnsi"/>
          <w:sz w:val="28"/>
          <w:szCs w:val="28"/>
          <w:u w:val="single"/>
          <w:shd w:val="clear" w:color="auto" w:fill="FFFFFF"/>
        </w:rPr>
        <w:t>Practice policy – requesting r</w:t>
      </w:r>
      <w:r w:rsidR="008C5F87" w:rsidRPr="00227B0B">
        <w:rPr>
          <w:rStyle w:val="Strong"/>
          <w:rFonts w:asciiTheme="minorHAnsi" w:hAnsiTheme="minorHAnsi" w:cstheme="minorHAnsi"/>
          <w:sz w:val="28"/>
          <w:szCs w:val="28"/>
          <w:u w:val="single"/>
          <w:shd w:val="clear" w:color="auto" w:fill="FFFFFF"/>
        </w:rPr>
        <w:t>eports</w:t>
      </w:r>
    </w:p>
    <w:p w14:paraId="2783D289" w14:textId="77777777" w:rsidR="008C5F87" w:rsidRDefault="008C5F87" w:rsidP="008C5F87">
      <w:pPr>
        <w:pStyle w:val="NormalWeb"/>
        <w:shd w:val="clear" w:color="auto" w:fill="FFFFFF"/>
        <w:spacing w:before="0" w:beforeAutospacing="0" w:after="0" w:afterAutospacing="0"/>
        <w:rPr>
          <w:rStyle w:val="Strong"/>
          <w:rFonts w:ascii="Lato" w:hAnsi="Lato"/>
          <w:shd w:val="clear" w:color="auto" w:fill="FFFFFF"/>
        </w:rPr>
      </w:pPr>
    </w:p>
    <w:p w14:paraId="38B6B9A9" w14:textId="3CD28578" w:rsidR="008C5F87" w:rsidRPr="00227B0B" w:rsidRDefault="008C5F87" w:rsidP="008C5F87">
      <w:pPr>
        <w:pStyle w:val="NormalWeb"/>
        <w:shd w:val="clear" w:color="auto" w:fill="FFFFFF"/>
        <w:spacing w:before="0" w:beforeAutospacing="0" w:after="0" w:afterAutospacing="0"/>
        <w:rPr>
          <w:rFonts w:asciiTheme="minorHAnsi" w:hAnsiTheme="minorHAnsi" w:cstheme="minorHAnsi"/>
          <w:shd w:val="clear" w:color="auto" w:fill="FFFFFF"/>
        </w:rPr>
      </w:pPr>
      <w:r w:rsidRPr="00227B0B">
        <w:rPr>
          <w:rFonts w:asciiTheme="minorHAnsi" w:hAnsiTheme="minorHAnsi" w:cstheme="minorHAnsi"/>
          <w:shd w:val="clear" w:color="auto" w:fill="FFFFFF"/>
        </w:rPr>
        <w:t>The National Health Service provides most health care to most people free of charge</w:t>
      </w:r>
      <w:r w:rsidR="00227B0B">
        <w:rPr>
          <w:rFonts w:asciiTheme="minorHAnsi" w:hAnsiTheme="minorHAnsi" w:cstheme="minorHAnsi"/>
          <w:shd w:val="clear" w:color="auto" w:fill="FFFFFF"/>
        </w:rPr>
        <w:t>. T</w:t>
      </w:r>
      <w:r w:rsidRPr="00227B0B">
        <w:rPr>
          <w:rFonts w:asciiTheme="minorHAnsi" w:hAnsiTheme="minorHAnsi" w:cstheme="minorHAnsi"/>
          <w:shd w:val="clear" w:color="auto" w:fill="FFFFFF"/>
        </w:rPr>
        <w:t xml:space="preserve">here are exceptions: prescription charges have existed since 1951, and there are a number of other services for which fees are charged. For </w:t>
      </w:r>
      <w:r w:rsidR="00EA35E8" w:rsidRPr="00227B0B">
        <w:rPr>
          <w:rFonts w:asciiTheme="minorHAnsi" w:hAnsiTheme="minorHAnsi" w:cstheme="minorHAnsi"/>
          <w:shd w:val="clear" w:color="auto" w:fill="FFFFFF"/>
        </w:rPr>
        <w:t>example,</w:t>
      </w:r>
      <w:r w:rsidRPr="00227B0B">
        <w:rPr>
          <w:rFonts w:asciiTheme="minorHAnsi" w:hAnsiTheme="minorHAnsi" w:cstheme="minorHAnsi"/>
          <w:shd w:val="clear" w:color="auto" w:fill="FFFFFF"/>
        </w:rPr>
        <w:t xml:space="preserve"> medical reports for insurance companies</w:t>
      </w:r>
      <w:r w:rsidR="00227B0B">
        <w:rPr>
          <w:rFonts w:asciiTheme="minorHAnsi" w:hAnsiTheme="minorHAnsi" w:cstheme="minorHAnsi"/>
          <w:shd w:val="clear" w:color="auto" w:fill="FFFFFF"/>
        </w:rPr>
        <w:t>.</w:t>
      </w:r>
    </w:p>
    <w:p w14:paraId="470AF5E0" w14:textId="77777777" w:rsidR="008C5F87" w:rsidRPr="00227B0B" w:rsidRDefault="008C5F87" w:rsidP="008C5F87">
      <w:pPr>
        <w:pStyle w:val="NormalWeb"/>
        <w:shd w:val="clear" w:color="auto" w:fill="FFFFFF"/>
        <w:spacing w:before="0" w:beforeAutospacing="0" w:after="0" w:afterAutospacing="0"/>
        <w:rPr>
          <w:rStyle w:val="Strong"/>
          <w:rFonts w:asciiTheme="minorHAnsi" w:hAnsiTheme="minorHAnsi" w:cstheme="minorHAnsi"/>
        </w:rPr>
      </w:pPr>
    </w:p>
    <w:p w14:paraId="54FD6AED" w14:textId="0BFFC815" w:rsidR="008C5F87" w:rsidRPr="00227B0B" w:rsidRDefault="008C5F87" w:rsidP="008C5F87">
      <w:pPr>
        <w:pStyle w:val="NormalWeb"/>
        <w:shd w:val="clear" w:color="auto" w:fill="FFFFFF"/>
        <w:spacing w:before="0" w:beforeAutospacing="0" w:after="0" w:afterAutospacing="0"/>
        <w:rPr>
          <w:rFonts w:asciiTheme="minorHAnsi" w:hAnsiTheme="minorHAnsi" w:cstheme="minorHAnsi"/>
        </w:rPr>
      </w:pPr>
      <w:r w:rsidRPr="00227B0B">
        <w:rPr>
          <w:rStyle w:val="Strong"/>
          <w:rFonts w:asciiTheme="minorHAnsi" w:hAnsiTheme="minorHAnsi" w:cstheme="minorHAnsi"/>
        </w:rPr>
        <w:t>Why does it take my GP a long time to complete my form? </w:t>
      </w:r>
      <w:r w:rsidR="00EA35E8" w:rsidRPr="00227B0B">
        <w:rPr>
          <w:rStyle w:val="Strong"/>
          <w:rFonts w:asciiTheme="minorHAnsi" w:hAnsiTheme="minorHAnsi" w:cstheme="minorHAnsi"/>
          <w:b w:val="0"/>
          <w:bCs w:val="0"/>
        </w:rPr>
        <w:t>The majority of requests are for Non-NHS funded services.</w:t>
      </w:r>
      <w:r w:rsidR="00EA35E8" w:rsidRPr="00227B0B">
        <w:rPr>
          <w:rStyle w:val="Strong"/>
          <w:rFonts w:asciiTheme="minorHAnsi" w:hAnsiTheme="minorHAnsi" w:cstheme="minorHAnsi"/>
        </w:rPr>
        <w:t xml:space="preserve"> </w:t>
      </w:r>
      <w:r w:rsidRPr="00227B0B">
        <w:rPr>
          <w:rFonts w:asciiTheme="minorHAnsi" w:hAnsiTheme="minorHAnsi" w:cstheme="minorHAnsi"/>
        </w:rPr>
        <w:t>Time spent completing forms and preparing reports takes the GP away from the medical care of his or her patients. Most GPs have a very heavy workload and paperwork takes up an increasing amount of their time, so many GPs find they have to take some paperwork home at night and weekends.</w:t>
      </w:r>
    </w:p>
    <w:p w14:paraId="08608AE1" w14:textId="77777777" w:rsidR="008C5F87" w:rsidRPr="00227B0B" w:rsidRDefault="008C5F87" w:rsidP="008C5F87">
      <w:pPr>
        <w:pStyle w:val="NormalWeb"/>
        <w:shd w:val="clear" w:color="auto" w:fill="FFFFFF"/>
        <w:spacing w:before="0" w:beforeAutospacing="0" w:after="0" w:afterAutospacing="0"/>
        <w:rPr>
          <w:rStyle w:val="Strong"/>
          <w:rFonts w:asciiTheme="minorHAnsi" w:hAnsiTheme="minorHAnsi" w:cstheme="minorHAnsi"/>
        </w:rPr>
      </w:pPr>
    </w:p>
    <w:p w14:paraId="18FBDA78" w14:textId="4A9A85A2" w:rsidR="008C5F87" w:rsidRPr="003458C1" w:rsidRDefault="008C5F87" w:rsidP="008C5F87">
      <w:pPr>
        <w:pStyle w:val="NormalWeb"/>
        <w:shd w:val="clear" w:color="auto" w:fill="FFFFFF"/>
        <w:spacing w:before="0" w:beforeAutospacing="0" w:after="0" w:afterAutospacing="0"/>
        <w:rPr>
          <w:rFonts w:asciiTheme="minorHAnsi" w:hAnsiTheme="minorHAnsi" w:cstheme="minorHAnsi"/>
        </w:rPr>
      </w:pPr>
      <w:r w:rsidRPr="00227B0B">
        <w:rPr>
          <w:rStyle w:val="Strong"/>
          <w:rFonts w:asciiTheme="minorHAnsi" w:hAnsiTheme="minorHAnsi" w:cstheme="minorHAnsi"/>
        </w:rPr>
        <w:t>I only need the doctor’s signature – what is the problem? </w:t>
      </w:r>
      <w:r w:rsidRPr="00227B0B">
        <w:rPr>
          <w:rFonts w:asciiTheme="minorHAnsi" w:hAnsiTheme="minorHAnsi" w:cstheme="minorHAnsi"/>
        </w:rPr>
        <w:t xml:space="preserve">When a doctor signs a certificate or completes a report, it is a condition of </w:t>
      </w:r>
      <w:r w:rsidRPr="003458C1">
        <w:rPr>
          <w:rFonts w:asciiTheme="minorHAnsi" w:hAnsiTheme="minorHAnsi" w:cstheme="minorHAnsi"/>
        </w:rPr>
        <w:t>remaining on the Medical Register that they only sign what they know to be true. In order to complete even the simplest of forms, therefore, the doctor might have to check the patient’s entire medical</w:t>
      </w:r>
      <w:r w:rsidR="00844770">
        <w:rPr>
          <w:rFonts w:asciiTheme="minorHAnsi" w:hAnsiTheme="minorHAnsi" w:cstheme="minorHAnsi"/>
          <w:lang w:eastAsia="en-US"/>
        </w:rPr>
        <w:t xml:space="preserve">, </w:t>
      </w:r>
      <w:r w:rsidR="003458C1" w:rsidRPr="003458C1">
        <w:rPr>
          <w:rFonts w:asciiTheme="minorHAnsi" w:hAnsiTheme="minorHAnsi" w:cstheme="minorHAnsi"/>
          <w:lang w:eastAsia="en-US"/>
        </w:rPr>
        <w:t>undertake a F2F</w:t>
      </w:r>
      <w:r w:rsidR="00844770">
        <w:rPr>
          <w:rFonts w:asciiTheme="minorHAnsi" w:hAnsiTheme="minorHAnsi" w:cstheme="minorHAnsi"/>
          <w:lang w:eastAsia="en-US"/>
        </w:rPr>
        <w:t>/telephone</w:t>
      </w:r>
      <w:r w:rsidR="003458C1" w:rsidRPr="003458C1">
        <w:rPr>
          <w:rFonts w:asciiTheme="minorHAnsi" w:hAnsiTheme="minorHAnsi" w:cstheme="minorHAnsi"/>
          <w:lang w:eastAsia="en-US"/>
        </w:rPr>
        <w:t xml:space="preserve"> assessment</w:t>
      </w:r>
      <w:r w:rsidR="00C24340">
        <w:rPr>
          <w:rFonts w:asciiTheme="minorHAnsi" w:hAnsiTheme="minorHAnsi" w:cstheme="minorHAnsi"/>
          <w:lang w:eastAsia="en-US"/>
        </w:rPr>
        <w:t xml:space="preserve"> to confirm details</w:t>
      </w:r>
      <w:r w:rsidRPr="003458C1">
        <w:rPr>
          <w:rFonts w:asciiTheme="minorHAnsi" w:hAnsiTheme="minorHAnsi" w:cstheme="minorHAnsi"/>
        </w:rPr>
        <w:t>. Carelessness or an inaccurate report can have serious consequences for the doctor with the General Medical Council or even the Police.</w:t>
      </w:r>
    </w:p>
    <w:p w14:paraId="48C3FC74" w14:textId="4525D152" w:rsidR="00227B0B" w:rsidRDefault="008C5F87" w:rsidP="00227B0B">
      <w:pPr>
        <w:shd w:val="clear" w:color="auto" w:fill="FFFFFF"/>
        <w:spacing w:before="100" w:beforeAutospacing="1" w:after="100" w:afterAutospacing="1"/>
        <w:rPr>
          <w:rFonts w:eastAsia="Times New Roman" w:cstheme="minorHAnsi"/>
          <w:sz w:val="24"/>
          <w:szCs w:val="24"/>
          <w:lang w:eastAsia="en-GB"/>
        </w:rPr>
      </w:pPr>
      <w:r w:rsidRPr="003458C1">
        <w:rPr>
          <w:rStyle w:val="Strong"/>
          <w:rFonts w:cstheme="minorHAnsi"/>
          <w:sz w:val="24"/>
          <w:szCs w:val="24"/>
        </w:rPr>
        <w:t>What will I be charged? </w:t>
      </w:r>
      <w:r w:rsidRPr="003458C1">
        <w:rPr>
          <w:rStyle w:val="Strong"/>
          <w:rFonts w:cstheme="minorHAnsi"/>
          <w:b w:val="0"/>
          <w:bCs w:val="0"/>
          <w:sz w:val="24"/>
          <w:szCs w:val="24"/>
        </w:rPr>
        <w:t>We will advise</w:t>
      </w:r>
      <w:r w:rsidRPr="00227B0B">
        <w:rPr>
          <w:rStyle w:val="Strong"/>
          <w:rFonts w:cstheme="minorHAnsi"/>
          <w:b w:val="0"/>
          <w:bCs w:val="0"/>
          <w:sz w:val="24"/>
          <w:szCs w:val="24"/>
        </w:rPr>
        <w:t xml:space="preserve"> you of the fee</w:t>
      </w:r>
      <w:r w:rsidRPr="00227B0B">
        <w:rPr>
          <w:rStyle w:val="Strong"/>
          <w:rFonts w:cstheme="minorHAnsi"/>
          <w:sz w:val="24"/>
          <w:szCs w:val="24"/>
        </w:rPr>
        <w:t xml:space="preserve">. </w:t>
      </w:r>
      <w:r w:rsidRPr="00227B0B">
        <w:rPr>
          <w:rFonts w:cstheme="minorHAnsi"/>
          <w:sz w:val="24"/>
          <w:szCs w:val="24"/>
        </w:rPr>
        <w:t>It is up to the</w:t>
      </w:r>
      <w:r w:rsidR="00EA35E8" w:rsidRPr="00227B0B">
        <w:rPr>
          <w:rFonts w:cstheme="minorHAnsi"/>
          <w:sz w:val="24"/>
          <w:szCs w:val="24"/>
        </w:rPr>
        <w:t xml:space="preserve"> surgery</w:t>
      </w:r>
      <w:r w:rsidRPr="00227B0B">
        <w:rPr>
          <w:rFonts w:cstheme="minorHAnsi"/>
          <w:sz w:val="24"/>
          <w:szCs w:val="24"/>
        </w:rPr>
        <w:t xml:space="preserve"> to decide how much to charge, but the BMA produces lists of suggested fees which many doctors use.</w:t>
      </w:r>
      <w:r w:rsidR="00227B0B" w:rsidRPr="00227B0B">
        <w:rPr>
          <w:rFonts w:eastAsia="Times New Roman" w:cstheme="minorHAnsi"/>
          <w:sz w:val="24"/>
          <w:szCs w:val="24"/>
          <w:lang w:eastAsia="en-GB"/>
        </w:rPr>
        <w:t xml:space="preserve"> </w:t>
      </w:r>
      <w:r w:rsidR="00D96D40">
        <w:rPr>
          <w:rFonts w:eastAsia="Times New Roman" w:cstheme="minorHAnsi"/>
          <w:sz w:val="24"/>
          <w:szCs w:val="24"/>
          <w:lang w:eastAsia="en-GB"/>
        </w:rPr>
        <w:t>Please note, w</w:t>
      </w:r>
      <w:r w:rsidR="00D96D40" w:rsidRPr="00227B0B">
        <w:rPr>
          <w:rFonts w:eastAsia="Times New Roman" w:cstheme="minorHAnsi"/>
          <w:sz w:val="24"/>
          <w:szCs w:val="24"/>
          <w:lang w:eastAsia="en-GB"/>
        </w:rPr>
        <w:t>e do require confirmation that you are happy to pay our fee before we can proceed.</w:t>
      </w:r>
      <w:r w:rsidR="00D96D40">
        <w:rPr>
          <w:rFonts w:eastAsia="Times New Roman" w:cstheme="minorHAnsi"/>
          <w:sz w:val="24"/>
          <w:szCs w:val="24"/>
          <w:lang w:eastAsia="en-GB"/>
        </w:rPr>
        <w:t xml:space="preserve"> </w:t>
      </w:r>
      <w:r w:rsidR="00227B0B" w:rsidRPr="00227B0B">
        <w:rPr>
          <w:rFonts w:eastAsia="Times New Roman" w:cstheme="minorHAnsi"/>
          <w:sz w:val="24"/>
          <w:szCs w:val="24"/>
          <w:lang w:eastAsia="en-GB"/>
        </w:rPr>
        <w:t xml:space="preserve">Payment is required in advance for Firearms requests, we will not start processing the request until payment is received. </w:t>
      </w:r>
    </w:p>
    <w:p w14:paraId="60FCDCBA" w14:textId="6B40ADD2" w:rsidR="00227B0B" w:rsidRPr="00227B0B" w:rsidRDefault="00227B0B" w:rsidP="00227B0B">
      <w:pPr>
        <w:shd w:val="clear" w:color="auto" w:fill="FFFFFF"/>
        <w:spacing w:before="100" w:beforeAutospacing="1" w:after="100" w:afterAutospacing="1"/>
        <w:rPr>
          <w:rStyle w:val="Strong"/>
          <w:rFonts w:eastAsia="Times New Roman" w:cstheme="minorHAnsi"/>
          <w:b w:val="0"/>
          <w:bCs w:val="0"/>
          <w:sz w:val="24"/>
          <w:szCs w:val="24"/>
          <w:lang w:eastAsia="en-GB"/>
        </w:rPr>
      </w:pPr>
      <w:r>
        <w:rPr>
          <w:rFonts w:eastAsia="Times New Roman" w:cstheme="minorHAnsi"/>
          <w:sz w:val="24"/>
          <w:szCs w:val="24"/>
          <w:lang w:eastAsia="en-GB"/>
        </w:rPr>
        <w:t>H</w:t>
      </w:r>
      <w:r>
        <w:rPr>
          <w:rStyle w:val="Strong"/>
          <w:rFonts w:cstheme="minorHAnsi"/>
          <w:sz w:val="24"/>
          <w:szCs w:val="24"/>
        </w:rPr>
        <w:t xml:space="preserve">ow </w:t>
      </w:r>
      <w:proofErr w:type="spellStart"/>
      <w:r>
        <w:rPr>
          <w:rStyle w:val="Strong"/>
          <w:rFonts w:cstheme="minorHAnsi"/>
          <w:sz w:val="24"/>
          <w:szCs w:val="24"/>
        </w:rPr>
        <w:t>to</w:t>
      </w:r>
      <w:proofErr w:type="spellEnd"/>
      <w:r>
        <w:rPr>
          <w:rStyle w:val="Strong"/>
          <w:rFonts w:cstheme="minorHAnsi"/>
          <w:sz w:val="24"/>
          <w:szCs w:val="24"/>
        </w:rPr>
        <w:t xml:space="preserve"> I get my completed form? </w:t>
      </w:r>
      <w:r>
        <w:rPr>
          <w:rStyle w:val="Strong"/>
          <w:rFonts w:cstheme="minorHAnsi"/>
          <w:b w:val="0"/>
          <w:bCs w:val="0"/>
          <w:sz w:val="24"/>
          <w:szCs w:val="24"/>
        </w:rPr>
        <w:t xml:space="preserve">Once completed we will be in contact about collection. If there was a fee for this to be completed, this will be required upon collection. </w:t>
      </w:r>
      <w:r w:rsidRPr="00227B0B">
        <w:rPr>
          <w:rStyle w:val="Strong"/>
          <w:rFonts w:cstheme="minorHAnsi"/>
          <w:b w:val="0"/>
          <w:bCs w:val="0"/>
          <w:sz w:val="24"/>
          <w:szCs w:val="24"/>
        </w:rPr>
        <w:t>If the paperwork has been requested by a company, depending on the type of report, this may be sent to them directly or we will contact you to collect from the surgery for you to pass on.</w:t>
      </w:r>
      <w:r>
        <w:rPr>
          <w:rStyle w:val="Strong"/>
          <w:rFonts w:cstheme="minorHAnsi"/>
          <w:sz w:val="24"/>
          <w:szCs w:val="24"/>
        </w:rPr>
        <w:t xml:space="preserve">  </w:t>
      </w:r>
    </w:p>
    <w:p w14:paraId="39E75E4B" w14:textId="2792D4F7" w:rsidR="008C5F87" w:rsidRPr="00227B0B" w:rsidRDefault="008C5F87" w:rsidP="008C5F87">
      <w:pPr>
        <w:rPr>
          <w:rFonts w:cstheme="minorHAnsi"/>
          <w:sz w:val="20"/>
          <w:szCs w:val="20"/>
        </w:rPr>
      </w:pPr>
      <w:r w:rsidRPr="00227B0B">
        <w:rPr>
          <w:rStyle w:val="Strong"/>
          <w:rFonts w:cstheme="minorHAnsi"/>
          <w:sz w:val="24"/>
          <w:szCs w:val="24"/>
          <w:shd w:val="clear" w:color="auto" w:fill="FFFFFF"/>
        </w:rPr>
        <w:t>What can I do to help?</w:t>
      </w:r>
    </w:p>
    <w:p w14:paraId="7C193C7B" w14:textId="63BC6ACE" w:rsidR="008C5F87" w:rsidRPr="00227B0B" w:rsidRDefault="008C5F87" w:rsidP="008C5F87">
      <w:pPr>
        <w:numPr>
          <w:ilvl w:val="0"/>
          <w:numId w:val="2"/>
        </w:numPr>
        <w:shd w:val="clear" w:color="auto" w:fill="FFFFFF"/>
        <w:spacing w:before="100" w:beforeAutospacing="1" w:after="100" w:afterAutospacing="1"/>
        <w:rPr>
          <w:rFonts w:eastAsia="Times New Roman" w:cstheme="minorHAnsi"/>
          <w:sz w:val="24"/>
          <w:szCs w:val="24"/>
          <w:lang w:eastAsia="en-GB"/>
        </w:rPr>
      </w:pPr>
      <w:r w:rsidRPr="00227B0B">
        <w:rPr>
          <w:rFonts w:eastAsia="Times New Roman" w:cstheme="minorHAnsi"/>
          <w:sz w:val="24"/>
          <w:szCs w:val="24"/>
          <w:lang w:eastAsia="en-GB"/>
        </w:rPr>
        <w:t>There is a 30+ day processing time so please allow enough time for this</w:t>
      </w:r>
    </w:p>
    <w:p w14:paraId="76F5722B" w14:textId="7B6C3842" w:rsidR="008C5F87" w:rsidRPr="00227B0B" w:rsidRDefault="008C5F87" w:rsidP="008C5F87">
      <w:pPr>
        <w:numPr>
          <w:ilvl w:val="0"/>
          <w:numId w:val="2"/>
        </w:numPr>
        <w:shd w:val="clear" w:color="auto" w:fill="FFFFFF"/>
        <w:spacing w:before="100" w:beforeAutospacing="1" w:after="100" w:afterAutospacing="1"/>
        <w:rPr>
          <w:rFonts w:eastAsia="Times New Roman" w:cstheme="minorHAnsi"/>
          <w:sz w:val="24"/>
          <w:szCs w:val="24"/>
          <w:lang w:eastAsia="en-GB"/>
        </w:rPr>
      </w:pPr>
      <w:r w:rsidRPr="00227B0B">
        <w:rPr>
          <w:rFonts w:eastAsia="Times New Roman" w:cstheme="minorHAnsi"/>
          <w:sz w:val="24"/>
          <w:szCs w:val="24"/>
          <w:lang w:eastAsia="en-GB"/>
        </w:rPr>
        <w:t>‘Chasing’ reports before the 30 day processing time is unnecessary, we will be in touch when it is completed</w:t>
      </w:r>
    </w:p>
    <w:p w14:paraId="12AB21AF" w14:textId="61CEAFBF" w:rsidR="008C5F87" w:rsidRDefault="008C5F87" w:rsidP="008C5F87">
      <w:pPr>
        <w:numPr>
          <w:ilvl w:val="0"/>
          <w:numId w:val="2"/>
        </w:numPr>
        <w:shd w:val="clear" w:color="auto" w:fill="FFFFFF"/>
        <w:spacing w:before="100" w:beforeAutospacing="1" w:after="100" w:afterAutospacing="1"/>
        <w:rPr>
          <w:rFonts w:eastAsia="Times New Roman" w:cstheme="minorHAnsi"/>
          <w:sz w:val="24"/>
          <w:szCs w:val="24"/>
          <w:lang w:eastAsia="en-GB"/>
        </w:rPr>
      </w:pPr>
      <w:r w:rsidRPr="00227B0B">
        <w:rPr>
          <w:rFonts w:eastAsia="Times New Roman" w:cstheme="minorHAnsi"/>
          <w:sz w:val="24"/>
          <w:szCs w:val="24"/>
          <w:lang w:eastAsia="en-GB"/>
        </w:rPr>
        <w:t>Make sure that all patient parts are completed before giving the forms to us</w:t>
      </w:r>
    </w:p>
    <w:p w14:paraId="036584F4" w14:textId="6991ADAB" w:rsidR="00227B0B" w:rsidRDefault="00227B0B" w:rsidP="00227B0B">
      <w:pPr>
        <w:numPr>
          <w:ilvl w:val="0"/>
          <w:numId w:val="2"/>
        </w:numPr>
        <w:shd w:val="clear" w:color="auto" w:fill="FFFFFF"/>
        <w:spacing w:before="100" w:beforeAutospacing="1" w:after="100" w:afterAutospacing="1"/>
        <w:rPr>
          <w:rFonts w:eastAsia="Times New Roman" w:cstheme="minorHAnsi"/>
          <w:sz w:val="24"/>
          <w:szCs w:val="24"/>
          <w:lang w:eastAsia="en-GB"/>
        </w:rPr>
      </w:pPr>
      <w:r>
        <w:rPr>
          <w:rFonts w:eastAsia="Times New Roman" w:cstheme="minorHAnsi"/>
          <w:sz w:val="24"/>
          <w:szCs w:val="24"/>
          <w:lang w:eastAsia="en-GB"/>
        </w:rPr>
        <w:t>Ensure you have the appropriate consent to request the information</w:t>
      </w:r>
    </w:p>
    <w:p w14:paraId="14C05D01" w14:textId="77E32629" w:rsidR="00227B0B" w:rsidRDefault="00227B0B" w:rsidP="00227B0B">
      <w:pPr>
        <w:numPr>
          <w:ilvl w:val="0"/>
          <w:numId w:val="2"/>
        </w:numPr>
        <w:shd w:val="clear" w:color="auto" w:fill="FFFFFF"/>
        <w:spacing w:before="100" w:beforeAutospacing="1" w:after="100" w:afterAutospacing="1"/>
        <w:rPr>
          <w:rFonts w:eastAsia="Times New Roman" w:cstheme="minorHAnsi"/>
          <w:sz w:val="24"/>
          <w:szCs w:val="24"/>
          <w:lang w:eastAsia="en-GB"/>
        </w:rPr>
      </w:pPr>
      <w:r>
        <w:rPr>
          <w:rFonts w:eastAsia="Times New Roman" w:cstheme="minorHAnsi"/>
          <w:sz w:val="24"/>
          <w:szCs w:val="24"/>
          <w:lang w:eastAsia="en-GB"/>
        </w:rPr>
        <w:t>Payment – please confirm you are willing to pay our fee</w:t>
      </w:r>
    </w:p>
    <w:p w14:paraId="600DBEE1" w14:textId="609918AD" w:rsidR="00227B0B" w:rsidRDefault="00227B0B" w:rsidP="00227B0B">
      <w:pPr>
        <w:numPr>
          <w:ilvl w:val="0"/>
          <w:numId w:val="2"/>
        </w:numPr>
        <w:shd w:val="clear" w:color="auto" w:fill="FFFFFF"/>
        <w:spacing w:before="100" w:beforeAutospacing="1" w:after="100" w:afterAutospacing="1"/>
        <w:rPr>
          <w:rFonts w:eastAsia="Times New Roman" w:cstheme="minorHAnsi"/>
          <w:sz w:val="24"/>
          <w:szCs w:val="24"/>
          <w:lang w:eastAsia="en-GB"/>
        </w:rPr>
      </w:pPr>
      <w:r>
        <w:rPr>
          <w:rFonts w:eastAsia="Times New Roman" w:cstheme="minorHAnsi"/>
          <w:sz w:val="24"/>
          <w:szCs w:val="24"/>
          <w:lang w:eastAsia="en-GB"/>
        </w:rPr>
        <w:t xml:space="preserve">Ensure we have your up-to-date contact details </w:t>
      </w:r>
      <w:r w:rsidRPr="008C5F87">
        <w:t>in case we need to confirm any details with you</w:t>
      </w:r>
    </w:p>
    <w:p w14:paraId="3FB34883" w14:textId="77777777" w:rsidR="00227B0B" w:rsidRDefault="00227B0B" w:rsidP="007B78FD">
      <w:pPr>
        <w:pBdr>
          <w:bottom w:val="single" w:sz="6" w:space="6" w:color="auto"/>
        </w:pBdr>
        <w:rPr>
          <w:rFonts w:eastAsia="Times New Roman" w:cstheme="minorHAnsi"/>
          <w:sz w:val="24"/>
          <w:szCs w:val="24"/>
          <w:lang w:eastAsia="en-GB"/>
        </w:rPr>
      </w:pPr>
    </w:p>
    <w:p w14:paraId="6E2F24D4" w14:textId="77777777" w:rsidR="00227B0B" w:rsidRDefault="00227B0B" w:rsidP="007B78FD">
      <w:pPr>
        <w:pBdr>
          <w:bottom w:val="single" w:sz="6" w:space="6" w:color="auto"/>
        </w:pBdr>
        <w:rPr>
          <w:b/>
          <w:bCs/>
        </w:rPr>
      </w:pPr>
    </w:p>
    <w:p w14:paraId="3EF59C95" w14:textId="77777777" w:rsidR="007B78FD" w:rsidRPr="007B78FD" w:rsidRDefault="007B78FD" w:rsidP="007B78FD">
      <w:pPr>
        <w:pBdr>
          <w:bottom w:val="single" w:sz="6" w:space="6" w:color="auto"/>
        </w:pBdr>
        <w:rPr>
          <w:b/>
          <w:bCs/>
        </w:rPr>
      </w:pPr>
    </w:p>
    <w:sectPr w:rsidR="007B78FD" w:rsidRPr="007B78FD" w:rsidSect="00134ADE">
      <w:footerReference w:type="default" r:id="rId7"/>
      <w:pgSz w:w="16838" w:h="11906" w:orient="landscape"/>
      <w:pgMar w:top="567" w:right="1440" w:bottom="90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25D17" w14:textId="77777777" w:rsidR="000F41D7" w:rsidRDefault="000F41D7" w:rsidP="00F90E0A">
      <w:r>
        <w:separator/>
      </w:r>
    </w:p>
  </w:endnote>
  <w:endnote w:type="continuationSeparator" w:id="0">
    <w:p w14:paraId="7BB3575F" w14:textId="77777777" w:rsidR="000F41D7" w:rsidRDefault="000F41D7" w:rsidP="00F9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D2FB5" w14:textId="70BCF3AC" w:rsidR="004449D9" w:rsidRDefault="004449D9" w:rsidP="004449D9">
    <w:pPr>
      <w:pStyle w:val="Header"/>
      <w:jc w:val="center"/>
    </w:pPr>
    <w:r>
      <w:t xml:space="preserve">Last updated </w:t>
    </w:r>
    <w:r w:rsidR="00541DD1">
      <w:t xml:space="preserve">June </w:t>
    </w:r>
    <w:r w:rsidR="001731D0">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129B9" w14:textId="77777777" w:rsidR="000F41D7" w:rsidRDefault="000F41D7" w:rsidP="00F90E0A">
      <w:r>
        <w:separator/>
      </w:r>
    </w:p>
  </w:footnote>
  <w:footnote w:type="continuationSeparator" w:id="0">
    <w:p w14:paraId="3ED418F3" w14:textId="77777777" w:rsidR="000F41D7" w:rsidRDefault="000F41D7" w:rsidP="00F90E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376BC"/>
    <w:multiLevelType w:val="multilevel"/>
    <w:tmpl w:val="CDCA4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FC6F3F"/>
    <w:multiLevelType w:val="hybridMultilevel"/>
    <w:tmpl w:val="482E950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131377AA"/>
    <w:multiLevelType w:val="multilevel"/>
    <w:tmpl w:val="1CF8C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817EE3"/>
    <w:multiLevelType w:val="multilevel"/>
    <w:tmpl w:val="3480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E4D7FCD"/>
    <w:multiLevelType w:val="hybridMultilevel"/>
    <w:tmpl w:val="70725D16"/>
    <w:lvl w:ilvl="0" w:tplc="1F4297A0">
      <w:start w:val="5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5B58A0"/>
    <w:multiLevelType w:val="hybridMultilevel"/>
    <w:tmpl w:val="88DC048C"/>
    <w:lvl w:ilvl="0" w:tplc="08841114">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B46CA0"/>
    <w:multiLevelType w:val="hybridMultilevel"/>
    <w:tmpl w:val="0C50C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6918026">
    <w:abstractNumId w:val="4"/>
  </w:num>
  <w:num w:numId="2" w16cid:durableId="1258364815">
    <w:abstractNumId w:val="2"/>
  </w:num>
  <w:num w:numId="3" w16cid:durableId="905381050">
    <w:abstractNumId w:val="1"/>
  </w:num>
  <w:num w:numId="4" w16cid:durableId="989676197">
    <w:abstractNumId w:val="6"/>
  </w:num>
  <w:num w:numId="5" w16cid:durableId="153953335">
    <w:abstractNumId w:val="5"/>
  </w:num>
  <w:num w:numId="6" w16cid:durableId="1276517938">
    <w:abstractNumId w:val="3"/>
  </w:num>
  <w:num w:numId="7" w16cid:durableId="1384133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8E7"/>
    <w:rsid w:val="00027718"/>
    <w:rsid w:val="000A4710"/>
    <w:rsid w:val="000B00FC"/>
    <w:rsid w:val="000D171B"/>
    <w:rsid w:val="000E6F94"/>
    <w:rsid w:val="000F39D7"/>
    <w:rsid w:val="000F41D7"/>
    <w:rsid w:val="00134ADE"/>
    <w:rsid w:val="001731D0"/>
    <w:rsid w:val="00196814"/>
    <w:rsid w:val="001968EC"/>
    <w:rsid w:val="00227B0B"/>
    <w:rsid w:val="0028761F"/>
    <w:rsid w:val="002B5456"/>
    <w:rsid w:val="002E7DCB"/>
    <w:rsid w:val="002F7B23"/>
    <w:rsid w:val="00340CE3"/>
    <w:rsid w:val="003458C1"/>
    <w:rsid w:val="00371764"/>
    <w:rsid w:val="0038624C"/>
    <w:rsid w:val="00390F13"/>
    <w:rsid w:val="00400D97"/>
    <w:rsid w:val="00407F48"/>
    <w:rsid w:val="00442E7C"/>
    <w:rsid w:val="004449D9"/>
    <w:rsid w:val="0045770E"/>
    <w:rsid w:val="00530C01"/>
    <w:rsid w:val="00541DD1"/>
    <w:rsid w:val="00577B2D"/>
    <w:rsid w:val="00593ED5"/>
    <w:rsid w:val="005C3339"/>
    <w:rsid w:val="005E65AD"/>
    <w:rsid w:val="00625261"/>
    <w:rsid w:val="00651BB9"/>
    <w:rsid w:val="006C241A"/>
    <w:rsid w:val="00771A30"/>
    <w:rsid w:val="007B78FD"/>
    <w:rsid w:val="00844770"/>
    <w:rsid w:val="00872A1D"/>
    <w:rsid w:val="008921BC"/>
    <w:rsid w:val="008C5F87"/>
    <w:rsid w:val="00941EC1"/>
    <w:rsid w:val="00942BAB"/>
    <w:rsid w:val="00957CA4"/>
    <w:rsid w:val="009C492D"/>
    <w:rsid w:val="00A0313A"/>
    <w:rsid w:val="00A84F8A"/>
    <w:rsid w:val="00A96740"/>
    <w:rsid w:val="00AB45ED"/>
    <w:rsid w:val="00AC42CE"/>
    <w:rsid w:val="00B41E01"/>
    <w:rsid w:val="00B52D32"/>
    <w:rsid w:val="00B61CEE"/>
    <w:rsid w:val="00BE38E7"/>
    <w:rsid w:val="00C06E6D"/>
    <w:rsid w:val="00C139FA"/>
    <w:rsid w:val="00C24340"/>
    <w:rsid w:val="00C5436E"/>
    <w:rsid w:val="00CB7161"/>
    <w:rsid w:val="00D05003"/>
    <w:rsid w:val="00D95F22"/>
    <w:rsid w:val="00D96D40"/>
    <w:rsid w:val="00E24DB8"/>
    <w:rsid w:val="00E4010F"/>
    <w:rsid w:val="00E908CE"/>
    <w:rsid w:val="00EA35E8"/>
    <w:rsid w:val="00F86507"/>
    <w:rsid w:val="00F90E0A"/>
    <w:rsid w:val="00FC5621"/>
    <w:rsid w:val="00FE4B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FBA75"/>
  <w15:chartTrackingRefBased/>
  <w15:docId w15:val="{3E958F1D-E591-47BC-86F7-3B646CCCF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C3339"/>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E38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71A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1A30"/>
    <w:rPr>
      <w:rFonts w:ascii="Segoe UI" w:hAnsi="Segoe UI" w:cs="Segoe UI"/>
      <w:sz w:val="18"/>
      <w:szCs w:val="18"/>
    </w:rPr>
  </w:style>
  <w:style w:type="paragraph" w:styleId="Header">
    <w:name w:val="header"/>
    <w:basedOn w:val="Normal"/>
    <w:link w:val="HeaderChar"/>
    <w:uiPriority w:val="99"/>
    <w:unhideWhenUsed/>
    <w:rsid w:val="00F90E0A"/>
    <w:pPr>
      <w:tabs>
        <w:tab w:val="center" w:pos="4513"/>
        <w:tab w:val="right" w:pos="9026"/>
      </w:tabs>
    </w:pPr>
  </w:style>
  <w:style w:type="character" w:customStyle="1" w:styleId="HeaderChar">
    <w:name w:val="Header Char"/>
    <w:basedOn w:val="DefaultParagraphFont"/>
    <w:link w:val="Header"/>
    <w:uiPriority w:val="99"/>
    <w:rsid w:val="00F90E0A"/>
  </w:style>
  <w:style w:type="paragraph" w:styleId="Footer">
    <w:name w:val="footer"/>
    <w:basedOn w:val="Normal"/>
    <w:link w:val="FooterChar"/>
    <w:uiPriority w:val="99"/>
    <w:unhideWhenUsed/>
    <w:rsid w:val="00F90E0A"/>
    <w:pPr>
      <w:tabs>
        <w:tab w:val="center" w:pos="4513"/>
        <w:tab w:val="right" w:pos="9026"/>
      </w:tabs>
    </w:pPr>
  </w:style>
  <w:style w:type="character" w:customStyle="1" w:styleId="FooterChar">
    <w:name w:val="Footer Char"/>
    <w:basedOn w:val="DefaultParagraphFont"/>
    <w:link w:val="Footer"/>
    <w:uiPriority w:val="99"/>
    <w:rsid w:val="00F90E0A"/>
  </w:style>
  <w:style w:type="character" w:customStyle="1" w:styleId="Heading1Char">
    <w:name w:val="Heading 1 Char"/>
    <w:basedOn w:val="DefaultParagraphFont"/>
    <w:link w:val="Heading1"/>
    <w:uiPriority w:val="9"/>
    <w:rsid w:val="005C3339"/>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5C3339"/>
    <w:pPr>
      <w:spacing w:before="100" w:beforeAutospacing="1" w:after="100" w:afterAutospacing="1"/>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5C3339"/>
    <w:pPr>
      <w:ind w:left="720"/>
      <w:contextualSpacing/>
    </w:pPr>
  </w:style>
  <w:style w:type="character" w:styleId="Strong">
    <w:name w:val="Strong"/>
    <w:basedOn w:val="DefaultParagraphFont"/>
    <w:uiPriority w:val="22"/>
    <w:qFormat/>
    <w:rsid w:val="005C3339"/>
    <w:rPr>
      <w:b/>
      <w:bCs/>
    </w:rPr>
  </w:style>
  <w:style w:type="character" w:styleId="Hyperlink">
    <w:name w:val="Hyperlink"/>
    <w:basedOn w:val="DefaultParagraphFont"/>
    <w:uiPriority w:val="99"/>
    <w:semiHidden/>
    <w:unhideWhenUsed/>
    <w:rsid w:val="000D17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087795">
      <w:bodyDiv w:val="1"/>
      <w:marLeft w:val="0"/>
      <w:marRight w:val="0"/>
      <w:marTop w:val="0"/>
      <w:marBottom w:val="0"/>
      <w:divBdr>
        <w:top w:val="none" w:sz="0" w:space="0" w:color="auto"/>
        <w:left w:val="none" w:sz="0" w:space="0" w:color="auto"/>
        <w:bottom w:val="none" w:sz="0" w:space="0" w:color="auto"/>
        <w:right w:val="none" w:sz="0" w:space="0" w:color="auto"/>
      </w:divBdr>
      <w:divsChild>
        <w:div w:id="1250046654">
          <w:marLeft w:val="0"/>
          <w:marRight w:val="0"/>
          <w:marTop w:val="360"/>
          <w:marBottom w:val="0"/>
          <w:divBdr>
            <w:top w:val="none" w:sz="0" w:space="0" w:color="auto"/>
            <w:left w:val="none" w:sz="0" w:space="0" w:color="auto"/>
            <w:bottom w:val="none" w:sz="0" w:space="0" w:color="auto"/>
            <w:right w:val="none" w:sz="0" w:space="0" w:color="auto"/>
          </w:divBdr>
        </w:div>
      </w:divsChild>
    </w:div>
    <w:div w:id="852376330">
      <w:bodyDiv w:val="1"/>
      <w:marLeft w:val="0"/>
      <w:marRight w:val="0"/>
      <w:marTop w:val="0"/>
      <w:marBottom w:val="0"/>
      <w:divBdr>
        <w:top w:val="none" w:sz="0" w:space="0" w:color="auto"/>
        <w:left w:val="none" w:sz="0" w:space="0" w:color="auto"/>
        <w:bottom w:val="none" w:sz="0" w:space="0" w:color="auto"/>
        <w:right w:val="none" w:sz="0" w:space="0" w:color="auto"/>
      </w:divBdr>
    </w:div>
    <w:div w:id="953367821">
      <w:bodyDiv w:val="1"/>
      <w:marLeft w:val="0"/>
      <w:marRight w:val="0"/>
      <w:marTop w:val="0"/>
      <w:marBottom w:val="0"/>
      <w:divBdr>
        <w:top w:val="none" w:sz="0" w:space="0" w:color="auto"/>
        <w:left w:val="none" w:sz="0" w:space="0" w:color="auto"/>
        <w:bottom w:val="none" w:sz="0" w:space="0" w:color="auto"/>
        <w:right w:val="none" w:sz="0" w:space="0" w:color="auto"/>
      </w:divBdr>
    </w:div>
    <w:div w:id="1625304936">
      <w:bodyDiv w:val="1"/>
      <w:marLeft w:val="0"/>
      <w:marRight w:val="0"/>
      <w:marTop w:val="0"/>
      <w:marBottom w:val="0"/>
      <w:divBdr>
        <w:top w:val="none" w:sz="0" w:space="0" w:color="auto"/>
        <w:left w:val="none" w:sz="0" w:space="0" w:color="auto"/>
        <w:bottom w:val="none" w:sz="0" w:space="0" w:color="auto"/>
        <w:right w:val="none" w:sz="0" w:space="0" w:color="auto"/>
      </w:divBdr>
    </w:div>
    <w:div w:id="1954090410">
      <w:bodyDiv w:val="1"/>
      <w:marLeft w:val="0"/>
      <w:marRight w:val="0"/>
      <w:marTop w:val="0"/>
      <w:marBottom w:val="0"/>
      <w:divBdr>
        <w:top w:val="none" w:sz="0" w:space="0" w:color="auto"/>
        <w:left w:val="none" w:sz="0" w:space="0" w:color="auto"/>
        <w:bottom w:val="none" w:sz="0" w:space="0" w:color="auto"/>
        <w:right w:val="none" w:sz="0" w:space="0" w:color="auto"/>
      </w:divBdr>
    </w:div>
    <w:div w:id="202554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999</Words>
  <Characters>5695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Sanger (The Blandford Group Practice)</dc:creator>
  <cp:keywords/>
  <dc:description/>
  <cp:lastModifiedBy>Hannah Wills (The Blandford Group Practice)</cp:lastModifiedBy>
  <cp:revision>10</cp:revision>
  <cp:lastPrinted>2024-02-21T14:11:00Z</cp:lastPrinted>
  <dcterms:created xsi:type="dcterms:W3CDTF">2024-06-10T15:36:00Z</dcterms:created>
  <dcterms:modified xsi:type="dcterms:W3CDTF">2025-01-24T16:24:00Z</dcterms:modified>
</cp:coreProperties>
</file>